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B1" w:rsidRDefault="0040044C">
      <w:r>
        <w:t xml:space="preserve">Das Haushaltssicherungskonzept 2018 der Gemeinde </w:t>
      </w:r>
      <w:proofErr w:type="spellStart"/>
      <w:r>
        <w:t>Voigtsdorf</w:t>
      </w:r>
      <w:proofErr w:type="spellEnd"/>
      <w:r>
        <w:t xml:space="preserve"> muss gemäß § 43 Absatz 7,8 und 9 KV- MV fortgeschrieben werden.</w:t>
      </w:r>
    </w:p>
    <w:p w:rsidR="00BA3BB1" w:rsidRDefault="0040044C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Darstellung der aktuellen Haushaltslage</w:t>
      </w:r>
    </w:p>
    <w:p w:rsidR="00BA3BB1" w:rsidRDefault="00BA3BB1">
      <w:pPr>
        <w:pStyle w:val="Default"/>
        <w:rPr>
          <w:b/>
          <w:bCs/>
          <w:sz w:val="28"/>
          <w:szCs w:val="28"/>
        </w:rPr>
      </w:pPr>
    </w:p>
    <w:p w:rsidR="00BA3BB1" w:rsidRDefault="0040044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1"/>
        </w:rPr>
        <w:t>Die</w:t>
      </w:r>
      <w:r>
        <w:rPr>
          <w:rFonts w:ascii="Arial" w:hAnsi="Arial" w:cs="Arial"/>
          <w:sz w:val="21"/>
          <w:szCs w:val="21"/>
        </w:rPr>
        <w:t xml:space="preserve"> Aufstellung des Haushaltes 2024 erfolgte auf der Grundlage der haushaltsrechtlichen</w:t>
      </w:r>
    </w:p>
    <w:p w:rsidR="00BA3BB1" w:rsidRDefault="0040044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Bestimmungen, insbesondere der Gemeindehaushaltsverordnung-Doppik (</w:t>
      </w:r>
      <w:proofErr w:type="spellStart"/>
      <w:r>
        <w:rPr>
          <w:rFonts w:ascii="Arial" w:hAnsi="Arial" w:cs="Arial"/>
          <w:sz w:val="21"/>
          <w:szCs w:val="21"/>
        </w:rPr>
        <w:t>GemHVO</w:t>
      </w:r>
      <w:proofErr w:type="spellEnd"/>
      <w:r>
        <w:rPr>
          <w:rFonts w:ascii="Arial" w:hAnsi="Arial" w:cs="Arial"/>
          <w:sz w:val="21"/>
          <w:szCs w:val="21"/>
        </w:rPr>
        <w:t>-Doppik)</w:t>
      </w:r>
    </w:p>
    <w:p w:rsidR="00BA3BB1" w:rsidRDefault="0040044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vom 25. Februar 2008 (</w:t>
      </w:r>
      <w:proofErr w:type="spellStart"/>
      <w:r>
        <w:rPr>
          <w:rFonts w:ascii="Arial" w:hAnsi="Arial" w:cs="Arial"/>
          <w:sz w:val="21"/>
          <w:szCs w:val="21"/>
        </w:rPr>
        <w:t>GVOBl</w:t>
      </w:r>
      <w:proofErr w:type="spellEnd"/>
      <w:r>
        <w:rPr>
          <w:rFonts w:ascii="Arial" w:hAnsi="Arial" w:cs="Arial"/>
          <w:sz w:val="21"/>
          <w:szCs w:val="21"/>
        </w:rPr>
        <w:t>. M-V 2008, S. 34), zuletzt geändert durch Artikel 13 der Verordnung vom 9. April 2020 (</w:t>
      </w:r>
      <w:proofErr w:type="spellStart"/>
      <w:r>
        <w:rPr>
          <w:rFonts w:ascii="Arial" w:hAnsi="Arial" w:cs="Arial"/>
          <w:sz w:val="21"/>
          <w:szCs w:val="21"/>
        </w:rPr>
        <w:t>GVOBl</w:t>
      </w:r>
      <w:proofErr w:type="spellEnd"/>
      <w:r>
        <w:rPr>
          <w:rFonts w:ascii="Arial" w:hAnsi="Arial" w:cs="Arial"/>
          <w:sz w:val="21"/>
          <w:szCs w:val="21"/>
        </w:rPr>
        <w:t>. M-V S. 166, 181) und des Orientierungsdatenerlasses</w:t>
      </w:r>
    </w:p>
    <w:p w:rsidR="00BA3BB1" w:rsidRDefault="0040044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vom 09.11.2023. </w:t>
      </w:r>
    </w:p>
    <w:p w:rsidR="00BA3BB1" w:rsidRDefault="00BA3BB1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A3BB1" w:rsidRDefault="004004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1"/>
          <w:szCs w:val="21"/>
        </w:rPr>
        <w:t xml:space="preserve">Trotz umfangreicher Sparmaßnahmen und der bereits eingearbeiteten Konsolidierungsmaßnamen dieses Konzeptes konnte der Haushaltsausgleich weder im Ergebnishaushalt noch im Finanzhaushalt erreicht werden. </w:t>
      </w:r>
      <w:r>
        <w:rPr>
          <w:color w:val="auto"/>
          <w:sz w:val="23"/>
          <w:szCs w:val="23"/>
        </w:rPr>
        <w:t>Die finanzielle Situation der Gemei</w:t>
      </w:r>
      <w:r>
        <w:rPr>
          <w:color w:val="auto"/>
          <w:sz w:val="23"/>
          <w:szCs w:val="23"/>
        </w:rPr>
        <w:t xml:space="preserve">nde </w:t>
      </w:r>
      <w:proofErr w:type="spellStart"/>
      <w:r>
        <w:rPr>
          <w:color w:val="auto"/>
          <w:sz w:val="23"/>
          <w:szCs w:val="23"/>
        </w:rPr>
        <w:t>Voigtsdorf</w:t>
      </w:r>
      <w:proofErr w:type="spellEnd"/>
      <w:r>
        <w:rPr>
          <w:color w:val="auto"/>
          <w:sz w:val="23"/>
          <w:szCs w:val="23"/>
        </w:rPr>
        <w:t xml:space="preserve"> ist als kritisch zu bezeichnen. Entsprechend wird das Haushaltssicherungskonzept 2018 fortgeschrieben</w:t>
      </w:r>
    </w:p>
    <w:p w:rsidR="00BA3BB1" w:rsidRDefault="00BA3BB1">
      <w:pPr>
        <w:pStyle w:val="Default"/>
        <w:rPr>
          <w:b/>
          <w:bCs/>
          <w:color w:val="auto"/>
          <w:sz w:val="28"/>
          <w:szCs w:val="28"/>
        </w:rPr>
      </w:pPr>
    </w:p>
    <w:p w:rsidR="00BA3BB1" w:rsidRDefault="0040044C">
      <w:pPr>
        <w:pStyle w:val="Default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Ergebnishaushalt:</w:t>
      </w:r>
    </w:p>
    <w:p w:rsidR="00BA3BB1" w:rsidRDefault="0040044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Nach § 16 Abs. 1 Nr. 1 </w:t>
      </w:r>
      <w:proofErr w:type="spellStart"/>
      <w:r>
        <w:rPr>
          <w:rFonts w:ascii="Arial" w:hAnsi="Arial" w:cs="Arial"/>
          <w:sz w:val="21"/>
          <w:szCs w:val="21"/>
        </w:rPr>
        <w:t>GemHVO</w:t>
      </w:r>
      <w:proofErr w:type="spellEnd"/>
      <w:r>
        <w:rPr>
          <w:rFonts w:ascii="Arial" w:hAnsi="Arial" w:cs="Arial"/>
          <w:sz w:val="21"/>
          <w:szCs w:val="21"/>
        </w:rPr>
        <w:t>-Doppik ist der Haushalt in der Planung ausgeglichen,</w:t>
      </w:r>
    </w:p>
    <w:p w:rsidR="00BA3BB1" w:rsidRDefault="0040044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wenn der Ergebnishaushalt unter Berüc</w:t>
      </w:r>
      <w:r>
        <w:rPr>
          <w:rFonts w:ascii="Arial" w:hAnsi="Arial" w:cs="Arial"/>
          <w:sz w:val="21"/>
          <w:szCs w:val="21"/>
        </w:rPr>
        <w:t>ksichtigung von noch nicht ausgeglichenen Fehlbeträgen</w:t>
      </w:r>
    </w:p>
    <w:p w:rsidR="00BA3BB1" w:rsidRDefault="0040044C">
      <w:pPr>
        <w:spacing w:after="0" w:line="240" w:lineRule="auto"/>
        <w:rPr>
          <w:bCs/>
        </w:rPr>
      </w:pPr>
      <w:proofErr w:type="gramStart"/>
      <w:r>
        <w:rPr>
          <w:rFonts w:ascii="Arial" w:hAnsi="Arial" w:cs="Arial"/>
          <w:sz w:val="21"/>
          <w:szCs w:val="21"/>
        </w:rPr>
        <w:t>aus</w:t>
      </w:r>
      <w:proofErr w:type="gramEnd"/>
      <w:r>
        <w:rPr>
          <w:rFonts w:ascii="Arial" w:hAnsi="Arial" w:cs="Arial"/>
          <w:sz w:val="21"/>
          <w:szCs w:val="21"/>
        </w:rPr>
        <w:t xml:space="preserve"> Haushaltsvorjahren keinen Fehlbetrag ausweist. Bei der Ermittlung des Haushalts-</w:t>
      </w:r>
      <w:proofErr w:type="spellStart"/>
      <w:r>
        <w:rPr>
          <w:rFonts w:ascii="Arial" w:hAnsi="Arial" w:cs="Arial"/>
          <w:sz w:val="21"/>
          <w:szCs w:val="21"/>
        </w:rPr>
        <w:t>ausgleiches</w:t>
      </w:r>
      <w:proofErr w:type="spellEnd"/>
      <w:r>
        <w:rPr>
          <w:rFonts w:ascii="Arial" w:hAnsi="Arial" w:cs="Arial"/>
          <w:sz w:val="21"/>
          <w:szCs w:val="21"/>
        </w:rPr>
        <w:t xml:space="preserve"> sind Fehlbetrage aus Haushaltsjahren mit einer </w:t>
      </w:r>
      <w:proofErr w:type="spellStart"/>
      <w:r>
        <w:rPr>
          <w:rFonts w:ascii="Arial" w:hAnsi="Arial" w:cs="Arial"/>
          <w:sz w:val="21"/>
          <w:szCs w:val="21"/>
        </w:rPr>
        <w:t>kameralen</w:t>
      </w:r>
      <w:proofErr w:type="spellEnd"/>
      <w:r>
        <w:rPr>
          <w:rFonts w:ascii="Arial" w:hAnsi="Arial" w:cs="Arial"/>
          <w:sz w:val="21"/>
          <w:szCs w:val="21"/>
        </w:rPr>
        <w:t xml:space="preserve"> Rechnungslegung nicht zu berücksichtigen.</w:t>
      </w:r>
    </w:p>
    <w:p w:rsidR="00BA3BB1" w:rsidRDefault="00BA3BB1">
      <w:pPr>
        <w:pStyle w:val="Default"/>
        <w:rPr>
          <w:bCs/>
          <w:sz w:val="22"/>
          <w:szCs w:val="22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Der E</w:t>
      </w:r>
      <w:r>
        <w:rPr>
          <w:sz w:val="23"/>
          <w:szCs w:val="23"/>
        </w:rPr>
        <w:t xml:space="preserve">rgebnisvortrag aus dem Haushaltsvorjahr (2022) beläuft sich auf./. </w:t>
      </w:r>
      <w:r>
        <w:rPr>
          <w:rFonts w:ascii="Arial Narrow" w:hAnsi="Arial Narrow" w:cs="Arial Narrow"/>
          <w:b/>
        </w:rPr>
        <w:t>-74.510,09</w:t>
      </w:r>
      <w:r>
        <w:rPr>
          <w:sz w:val="23"/>
          <w:szCs w:val="23"/>
        </w:rPr>
        <w:t>€</w:t>
      </w:r>
    </w:p>
    <w:p w:rsidR="00BA3BB1" w:rsidRDefault="0040044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und</w:t>
      </w:r>
      <w:proofErr w:type="gramEnd"/>
      <w:r>
        <w:rPr>
          <w:sz w:val="23"/>
          <w:szCs w:val="23"/>
        </w:rPr>
        <w:t xml:space="preserve"> hat sich zum Ende des Haushaltsjahres 2022 um 66.356,27 €  auf ./. 8.153,82 € gemindert.</w:t>
      </w:r>
    </w:p>
    <w:p w:rsidR="00BA3BB1" w:rsidRDefault="00BA3BB1">
      <w:pPr>
        <w:pStyle w:val="Default"/>
        <w:rPr>
          <w:sz w:val="23"/>
          <w:szCs w:val="23"/>
        </w:rPr>
      </w:pPr>
    </w:p>
    <w:tbl>
      <w:tblPr>
        <w:tblW w:w="10294" w:type="dxa"/>
        <w:tblInd w:w="15" w:type="dxa"/>
        <w:tblCellMar>
          <w:left w:w="6" w:type="dxa"/>
          <w:right w:w="57" w:type="dxa"/>
        </w:tblCellMar>
        <w:tblLook w:val="0000" w:firstRow="0" w:lastRow="0" w:firstColumn="0" w:lastColumn="0" w:noHBand="0" w:noVBand="0"/>
      </w:tblPr>
      <w:tblGrid>
        <w:gridCol w:w="382"/>
        <w:gridCol w:w="3148"/>
        <w:gridCol w:w="1126"/>
        <w:gridCol w:w="1129"/>
        <w:gridCol w:w="1127"/>
        <w:gridCol w:w="1127"/>
        <w:gridCol w:w="1125"/>
        <w:gridCol w:w="1130"/>
      </w:tblGrid>
      <w:tr w:rsidR="00BA3BB1">
        <w:trPr>
          <w:cantSplit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ind w:left="61" w:hanging="4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2027</w:t>
            </w:r>
          </w:p>
        </w:tc>
      </w:tr>
      <w:tr w:rsidR="00BA3BB1">
        <w:trPr>
          <w:cantSplit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ind w:left="61" w:hanging="4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Jahresergebnis (Jahresüberschuss/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Jahresfehlbetrag, Nummer 20 zuzüglich Nummern 22 und 24 abzüglich Nummern 21 und 23)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66.356,27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-56.000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-72.500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-50.000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-49.100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-57.600</w:t>
            </w:r>
          </w:p>
        </w:tc>
      </w:tr>
      <w:tr w:rsidR="00BA3BB1">
        <w:trPr>
          <w:cantSplit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ind w:left="61" w:hanging="4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nachrichtlich: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A3BB1">
        <w:trPr>
          <w:cantSplit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ind w:left="61" w:hanging="4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Ergebnisvortrag aus dem Haushaltsvorjahr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-74.510,09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-8.154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-64.154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-136.654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-186.654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-235.754</w:t>
            </w:r>
          </w:p>
        </w:tc>
      </w:tr>
      <w:tr w:rsidR="00BA3BB1">
        <w:trPr>
          <w:cantSplit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ind w:left="61" w:hanging="4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Ergebnis (Überschuss/Fehlbetrag) zum 31. Dezember des Haushaltsjahres (Summe der Nummern 25 und 26)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-8.153,82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-64.154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-136.654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-186.654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-235.754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-293.354</w:t>
            </w:r>
          </w:p>
        </w:tc>
      </w:tr>
    </w:tbl>
    <w:p w:rsidR="00BA3BB1" w:rsidRDefault="00BA3BB1">
      <w:pPr>
        <w:pStyle w:val="Default"/>
        <w:rPr>
          <w:sz w:val="23"/>
          <w:szCs w:val="23"/>
        </w:rPr>
      </w:pP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Dieser negative Trend kann nicht gestoppt werden. Ab 2025 bis </w:t>
      </w:r>
      <w:proofErr w:type="gramStart"/>
      <w:r>
        <w:rPr>
          <w:sz w:val="23"/>
          <w:szCs w:val="23"/>
        </w:rPr>
        <w:t>2026  verringert</w:t>
      </w:r>
      <w:proofErr w:type="gramEnd"/>
      <w:r>
        <w:rPr>
          <w:sz w:val="23"/>
          <w:szCs w:val="23"/>
        </w:rPr>
        <w:t xml:space="preserve"> sich </w:t>
      </w:r>
      <w:r>
        <w:rPr>
          <w:sz w:val="23"/>
          <w:szCs w:val="23"/>
        </w:rPr>
        <w:t>der Fehlbetrag, die Verringerung reicht aber nicht aus den negativen Trend zu stoppen. Der Ausgleich des Ergebnishaushaltes kann aus eigener Kraft nicht geschafft werden</w:t>
      </w:r>
    </w:p>
    <w:p w:rsidR="00BA3BB1" w:rsidRDefault="0040044C">
      <w:pPr>
        <w:pStyle w:val="Default"/>
      </w:pPr>
      <w:r>
        <w:rPr>
          <w:sz w:val="23"/>
          <w:szCs w:val="23"/>
        </w:rPr>
        <w:br/>
      </w:r>
    </w:p>
    <w:p w:rsidR="00BA3BB1" w:rsidRDefault="0040044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Finanzhaushalt: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sz w:val="21"/>
          <w:szCs w:val="21"/>
        </w:rPr>
        <w:t xml:space="preserve">Der Finanzhaushalt ist nach § 16 Abs. 1 Nr. 2 </w:t>
      </w:r>
      <w:proofErr w:type="spellStart"/>
      <w:r>
        <w:rPr>
          <w:rFonts w:ascii="Arial" w:hAnsi="Arial" w:cs="Arial"/>
          <w:sz w:val="21"/>
          <w:szCs w:val="21"/>
        </w:rPr>
        <w:t>GemHVO</w:t>
      </w:r>
      <w:proofErr w:type="spellEnd"/>
      <w:r>
        <w:rPr>
          <w:rFonts w:ascii="Arial" w:hAnsi="Arial" w:cs="Arial"/>
          <w:sz w:val="21"/>
          <w:szCs w:val="21"/>
        </w:rPr>
        <w:t>-Doppik unter Be</w:t>
      </w:r>
      <w:r>
        <w:rPr>
          <w:rFonts w:ascii="Arial" w:hAnsi="Arial" w:cs="Arial"/>
          <w:sz w:val="21"/>
          <w:szCs w:val="21"/>
        </w:rPr>
        <w:t>rücksichtigung von</w:t>
      </w:r>
    </w:p>
    <w:p w:rsidR="00BA3BB1" w:rsidRDefault="0040044C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vorzutragenden</w:t>
      </w:r>
      <w:proofErr w:type="gramEnd"/>
      <w:r>
        <w:rPr>
          <w:rFonts w:ascii="Arial" w:hAnsi="Arial" w:cs="Arial"/>
          <w:sz w:val="21"/>
          <w:szCs w:val="21"/>
        </w:rPr>
        <w:t xml:space="preserve"> Beträgen aus Haushaltsvorjahren ausgeglichen, wenn kein negativer Saldo</w:t>
      </w:r>
    </w:p>
    <w:p w:rsidR="00BA3BB1" w:rsidRDefault="0040044C">
      <w:pPr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der</w:t>
      </w:r>
      <w:proofErr w:type="gramEnd"/>
      <w:r>
        <w:rPr>
          <w:rFonts w:ascii="Arial" w:hAnsi="Arial" w:cs="Arial"/>
          <w:sz w:val="21"/>
          <w:szCs w:val="21"/>
        </w:rPr>
        <w:t xml:space="preserve"> laufenden Ein- und Auszahlungen besteht.</w:t>
      </w:r>
    </w:p>
    <w:p w:rsidR="00BA3BB1" w:rsidRDefault="00400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Saldo der lfd. Ein- und Auszahlungen aus dem Haushaltsvorjahr (2022) beläuft sich auf </w:t>
      </w:r>
      <w:r>
        <w:rPr>
          <w:rFonts w:ascii="Arial Narrow" w:hAnsi="Arial Narrow" w:cs="Arial Narrow"/>
          <w:b/>
          <w:sz w:val="24"/>
          <w:szCs w:val="24"/>
        </w:rPr>
        <w:t xml:space="preserve">- - 288.132,07 </w:t>
      </w:r>
      <w:r>
        <w:rPr>
          <w:rFonts w:ascii="Arial" w:hAnsi="Arial" w:cs="Arial"/>
        </w:rPr>
        <w:t xml:space="preserve">EUR und hat sich zum Ende des Haushaltsjahres 2022 um 64.970,72 </w:t>
      </w:r>
      <w:r>
        <w:rPr>
          <w:rFonts w:ascii="Arial Narrow" w:hAnsi="Arial Narrow" w:cs="Arial"/>
          <w:b/>
          <w:sz w:val="24"/>
          <w:szCs w:val="24"/>
        </w:rPr>
        <w:t>EUR</w:t>
      </w:r>
      <w:r>
        <w:rPr>
          <w:rFonts w:ascii="Arial" w:hAnsi="Arial" w:cs="Arial"/>
        </w:rPr>
        <w:t xml:space="preserve"> auf –223.161,35 EUR verringert. Die negativen jahresbezogenen Salden der lfd. Ein – und Auszahlungen verschlechtern sich zum Ende des Finanzplanungszeitraumes.</w:t>
      </w:r>
    </w:p>
    <w:p w:rsidR="00BA3BB1" w:rsidRDefault="00BA3BB1">
      <w:pPr>
        <w:rPr>
          <w:rFonts w:ascii="Arial" w:hAnsi="Arial" w:cs="Arial"/>
        </w:rPr>
      </w:pPr>
    </w:p>
    <w:p w:rsidR="00BA3BB1" w:rsidRDefault="00BA3BB1">
      <w:pPr>
        <w:rPr>
          <w:rFonts w:ascii="Arial" w:hAnsi="Arial" w:cs="Arial"/>
        </w:rPr>
      </w:pPr>
    </w:p>
    <w:tbl>
      <w:tblPr>
        <w:tblW w:w="10328" w:type="dxa"/>
        <w:tblInd w:w="4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"/>
        <w:gridCol w:w="343"/>
        <w:gridCol w:w="11"/>
        <w:gridCol w:w="2902"/>
        <w:gridCol w:w="11"/>
        <w:gridCol w:w="1032"/>
        <w:gridCol w:w="12"/>
        <w:gridCol w:w="1032"/>
        <w:gridCol w:w="11"/>
        <w:gridCol w:w="1034"/>
        <w:gridCol w:w="10"/>
        <w:gridCol w:w="1033"/>
        <w:gridCol w:w="10"/>
        <w:gridCol w:w="1034"/>
        <w:gridCol w:w="11"/>
        <w:gridCol w:w="1038"/>
        <w:gridCol w:w="11"/>
        <w:gridCol w:w="468"/>
        <w:gridCol w:w="162"/>
      </w:tblGrid>
      <w:tr w:rsidR="00BA3BB1">
        <w:trPr>
          <w:cantSplit/>
        </w:trPr>
        <w:tc>
          <w:tcPr>
            <w:tcW w:w="162" w:type="dxa"/>
            <w:shd w:val="clear" w:color="auto" w:fill="auto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" w:type="dxa"/>
              <w:right w:w="57" w:type="dxa"/>
            </w:tcMar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60"/>
              <w:ind w:left="56" w:firstLine="1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 w:rsidP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2022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 w:rsidP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2023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 w:rsidP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2024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 w:rsidP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2025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 w:rsidP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2026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 w:rsidP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2027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BA3BB1">
        <w:trPr>
          <w:cantSplit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" w:type="dxa"/>
              <w:right w:w="57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37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60"/>
              <w:ind w:left="56" w:firstLine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Jahresbezogener Saldo der laufenden Ein- und Auszahlungen (Saldo der Nummern 18 und 32)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64.970,72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-52.300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-65.200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-38.500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-37.300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-46.000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62" w:type="dxa"/>
            <w:shd w:val="clear" w:color="auto" w:fill="auto"/>
          </w:tcPr>
          <w:p w:rsidR="00BA3BB1" w:rsidRDefault="00BA3BB1"/>
        </w:tc>
      </w:tr>
      <w:tr w:rsidR="00BA3BB1">
        <w:trPr>
          <w:cantSplit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" w:type="dxa"/>
              <w:right w:w="57" w:type="dxa"/>
            </w:tcMar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60"/>
              <w:ind w:left="56" w:firstLine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nachrichtlich: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62" w:type="dxa"/>
            <w:shd w:val="clear" w:color="auto" w:fill="auto"/>
          </w:tcPr>
          <w:p w:rsidR="00BA3BB1" w:rsidRDefault="00BA3BB1"/>
        </w:tc>
      </w:tr>
      <w:tr w:rsidR="00BA3BB1">
        <w:trPr>
          <w:cantSplit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" w:type="dxa"/>
              <w:right w:w="57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38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60"/>
              <w:ind w:left="56" w:firstLine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Saldo der laufenden Ein- und Auszahlungen zum 31. Dezember des Haushaltsvorjahres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-288.132,07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-223.161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-275.461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-340.661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-379.161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-416.461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62" w:type="dxa"/>
            <w:shd w:val="clear" w:color="auto" w:fill="auto"/>
          </w:tcPr>
          <w:p w:rsidR="00BA3BB1" w:rsidRDefault="00BA3BB1"/>
        </w:tc>
      </w:tr>
      <w:tr w:rsidR="00BA3BB1">
        <w:trPr>
          <w:cantSplit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" w:type="dxa"/>
              <w:right w:w="57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39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60"/>
              <w:ind w:left="56" w:firstLine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Saldo der laufenden Ein- und Auszahlungen zum 31. Dezember des Haushaltsjahres (Summe der Nummern 37 und 38)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-223.161,35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-275.461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-340.661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-379.161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-416.461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-462.461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62" w:type="dxa"/>
            <w:shd w:val="clear" w:color="auto" w:fill="auto"/>
          </w:tcPr>
          <w:p w:rsidR="00BA3BB1" w:rsidRDefault="00BA3BB1"/>
        </w:tc>
      </w:tr>
    </w:tbl>
    <w:p w:rsidR="00BA3BB1" w:rsidRDefault="00BA3BB1">
      <w:pPr>
        <w:rPr>
          <w:rFonts w:ascii="Arial" w:hAnsi="Arial" w:cs="Arial"/>
        </w:rPr>
      </w:pPr>
    </w:p>
    <w:p w:rsidR="00BA3BB1" w:rsidRDefault="0040044C">
      <w:pPr>
        <w:rPr>
          <w:rFonts w:ascii="Arial" w:hAnsi="Arial" w:cs="Arial"/>
        </w:rPr>
      </w:pPr>
      <w:r>
        <w:rPr>
          <w:rFonts w:ascii="Arial" w:hAnsi="Arial" w:cs="Arial"/>
        </w:rPr>
        <w:t>Durch die erhaltene Sonder- und Ergänzungszuweisungen im Jahr 2022 konnte der Saldo der laufenden Ein- und Auszahlungen zum 31.12.2022 um 64.970,72 gemindert werden.</w:t>
      </w:r>
    </w:p>
    <w:p w:rsidR="00BA3BB1" w:rsidRDefault="00400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Antrag auf eine </w:t>
      </w:r>
      <w:r>
        <w:rPr>
          <w:rFonts w:ascii="Arial" w:hAnsi="Arial" w:cs="Arial"/>
        </w:rPr>
        <w:t>Konsolidierungszuweisung für das Jahr 2023 wird gestellt. Zusammenfassung:</w:t>
      </w:r>
    </w:p>
    <w:p w:rsidR="00BA3BB1" w:rsidRDefault="00400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Ergebnis ist festzustellen, dass der der Haushaltsausgleich nach § 43 Absatz 6 KV M-V und § 16 </w:t>
      </w:r>
      <w:proofErr w:type="spellStart"/>
      <w:r>
        <w:rPr>
          <w:rFonts w:ascii="Arial" w:hAnsi="Arial" w:cs="Arial"/>
        </w:rPr>
        <w:t>GemHVO</w:t>
      </w:r>
      <w:proofErr w:type="spellEnd"/>
      <w:r>
        <w:rPr>
          <w:rFonts w:ascii="Arial" w:hAnsi="Arial" w:cs="Arial"/>
        </w:rPr>
        <w:t xml:space="preserve">-Doppik M-V weder im Haushaltsjahr 2023 noch im Finanzplanungszeitraum </w:t>
      </w:r>
      <w:r>
        <w:rPr>
          <w:rFonts w:ascii="Arial" w:hAnsi="Arial" w:cs="Arial"/>
        </w:rPr>
        <w:t>erreicht werden kann.</w:t>
      </w:r>
    </w:p>
    <w:p w:rsidR="00BA3BB1" w:rsidRDefault="00BA3BB1">
      <w:pPr>
        <w:rPr>
          <w:rFonts w:ascii="Arial" w:hAnsi="Arial" w:cs="Arial"/>
        </w:rPr>
      </w:pPr>
    </w:p>
    <w:p w:rsidR="00BA3BB1" w:rsidRDefault="0040044C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Analyse der Ursachen für den fehlenden Haushaltsausgleich</w:t>
      </w:r>
    </w:p>
    <w:p w:rsidR="00BA3BB1" w:rsidRDefault="0040044C">
      <w:pPr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>
            <wp:extent cx="3869055" cy="2574290"/>
            <wp:effectExtent l="0" t="0" r="0" b="0"/>
            <wp:docPr id="1" name="Grafik 515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515" descr="Ein Bild, das Kar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B1" w:rsidRDefault="00BA3BB1">
      <w:pPr>
        <w:rPr>
          <w:rFonts w:ascii="Arial" w:hAnsi="Arial" w:cs="Arial"/>
          <w:b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400"/>
        <w:gridCol w:w="517"/>
        <w:gridCol w:w="3398"/>
        <w:gridCol w:w="1315"/>
        <w:gridCol w:w="1726"/>
      </w:tblGrid>
      <w:tr w:rsidR="00BA3BB1">
        <w:trPr>
          <w:trHeight w:val="28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A3BB1" w:rsidRDefault="0040044C">
            <w:pPr>
              <w:pStyle w:val="caption1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</w:rPr>
              <w:t>Fläche / Einwohnerdichte: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F3F3"/>
          </w:tcPr>
          <w:p w:rsidR="00BA3BB1" w:rsidRDefault="0040044C">
            <w:pPr>
              <w:pStyle w:val="caption1"/>
              <w:rPr>
                <w:b/>
                <w:bCs/>
              </w:rPr>
            </w:pPr>
            <w:r>
              <w:rPr>
                <w:rFonts w:eastAsia="Calibri"/>
                <w:bCs/>
              </w:rPr>
              <w:t>8 km</w:t>
            </w:r>
            <w:r>
              <w:rPr>
                <w:rFonts w:eastAsia="Calibri"/>
                <w:bCs/>
                <w:vertAlign w:val="superscript"/>
              </w:rPr>
              <w:t>2</w:t>
            </w:r>
            <w:r>
              <w:rPr>
                <w:rFonts w:eastAsia="Calibri"/>
                <w:bCs/>
              </w:rPr>
              <w:t>/ 12 Einwohner je km</w:t>
            </w:r>
            <w:r>
              <w:rPr>
                <w:rFonts w:eastAsia="Calibri"/>
                <w:bCs/>
                <w:vertAlign w:val="superscript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A3BB1" w:rsidRDefault="0040044C">
            <w:pPr>
              <w:pStyle w:val="caption1"/>
              <w:spacing w:after="0"/>
              <w:rPr>
                <w:bCs/>
              </w:rPr>
            </w:pPr>
            <w:r>
              <w:rPr>
                <w:rFonts w:eastAsia="Calibri"/>
                <w:bCs/>
              </w:rPr>
              <w:t>Einwohner: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FBF3F3"/>
          </w:tcPr>
          <w:p w:rsidR="00BA3BB1" w:rsidRDefault="0040044C">
            <w:pPr>
              <w:pStyle w:val="caption1"/>
              <w:spacing w:after="0"/>
              <w:rPr>
                <w:b/>
                <w:bCs/>
              </w:rPr>
            </w:pPr>
            <w:r>
              <w:rPr>
                <w:rFonts w:eastAsia="Calibri"/>
              </w:rPr>
              <w:t>93 (2020)</w:t>
            </w:r>
          </w:p>
        </w:tc>
      </w:tr>
      <w:tr w:rsidR="00BA3BB1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A3BB1" w:rsidRDefault="0040044C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 xml:space="preserve">Infrastruktur </w:t>
            </w:r>
            <w:r>
              <w:rPr>
                <w:rFonts w:eastAsia="Calibri"/>
                <w:sz w:val="16"/>
                <w:szCs w:val="14"/>
              </w:rPr>
              <w:t xml:space="preserve">(Feuerwehr, medizinische Versorgung, Bildung, Kultur, Nahversorgung, </w:t>
            </w:r>
            <w:r>
              <w:rPr>
                <w:rFonts w:eastAsia="Calibri"/>
                <w:sz w:val="16"/>
                <w:szCs w:val="14"/>
              </w:rPr>
              <w:t>Betreuungseinrichtungen)</w:t>
            </w:r>
          </w:p>
        </w:tc>
      </w:tr>
      <w:tr w:rsidR="00BA3BB1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BF3F3"/>
          </w:tcPr>
          <w:p w:rsidR="00BA3BB1" w:rsidRDefault="00BA3BB1">
            <w:pPr>
              <w:pStyle w:val="Aufzhlungszeichen4"/>
              <w:numPr>
                <w:ilvl w:val="0"/>
                <w:numId w:val="6"/>
              </w:numPr>
              <w:tabs>
                <w:tab w:val="left" w:pos="397"/>
              </w:tabs>
              <w:jc w:val="both"/>
              <w:rPr>
                <w:rFonts w:ascii="Calibri" w:hAnsi="Calibri"/>
              </w:rPr>
            </w:pPr>
          </w:p>
        </w:tc>
      </w:tr>
      <w:tr w:rsidR="00BA3BB1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A3BB1" w:rsidRDefault="0040044C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Wirtschaftsstruktur</w:t>
            </w:r>
          </w:p>
        </w:tc>
      </w:tr>
      <w:tr w:rsidR="00BA3BB1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BF3F3"/>
          </w:tcPr>
          <w:p w:rsidR="00BA3BB1" w:rsidRDefault="00BA3BB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jc w:val="both"/>
              <w:rPr>
                <w:bCs/>
              </w:rPr>
            </w:pPr>
          </w:p>
        </w:tc>
      </w:tr>
      <w:tr w:rsidR="00BA3BB1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A3BB1" w:rsidRDefault="0040044C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Bauleitplanung und Baulandreserven</w:t>
            </w:r>
          </w:p>
        </w:tc>
      </w:tr>
      <w:tr w:rsidR="00BA3BB1"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F3F3"/>
          </w:tcPr>
          <w:p w:rsidR="00BA3BB1" w:rsidRDefault="0040044C">
            <w:pPr>
              <w:pStyle w:val="caption1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</w:rPr>
              <w:lastRenderedPageBreak/>
              <w:t xml:space="preserve">Städtebauliche Satzungen </w:t>
            </w:r>
            <w:r>
              <w:rPr>
                <w:rFonts w:eastAsia="Calibri"/>
                <w:bCs/>
              </w:rPr>
              <w:br/>
              <w:t>(Übersicht)</w:t>
            </w:r>
          </w:p>
        </w:tc>
        <w:tc>
          <w:tcPr>
            <w:tcW w:w="6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F3F3"/>
          </w:tcPr>
          <w:p w:rsidR="00BA3BB1" w:rsidRDefault="0040044C">
            <w:pPr>
              <w:pStyle w:val="Listenabsatz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In Planung B-Plan „Solarkraftwerk Gemeinde </w:t>
            </w:r>
            <w:proofErr w:type="spellStart"/>
            <w:r>
              <w:rPr>
                <w:rFonts w:eastAsia="Calibri"/>
              </w:rPr>
              <w:t>Voigtsdorf</w:t>
            </w:r>
            <w:proofErr w:type="spellEnd"/>
            <w:r>
              <w:rPr>
                <w:rFonts w:eastAsia="Calibri"/>
              </w:rPr>
              <w:t>“</w:t>
            </w:r>
          </w:p>
        </w:tc>
      </w:tr>
      <w:tr w:rsidR="00BA3BB1"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F3F3"/>
          </w:tcPr>
          <w:p w:rsidR="00BA3BB1" w:rsidRDefault="0040044C">
            <w:pPr>
              <w:pStyle w:val="caption1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</w:rPr>
              <w:t xml:space="preserve">Baulandpotenzial </w:t>
            </w:r>
            <w:r>
              <w:rPr>
                <w:rFonts w:eastAsia="Calibri"/>
                <w:bCs/>
              </w:rPr>
              <w:br/>
              <w:t>durch Baulücken (§34)</w:t>
            </w:r>
          </w:p>
        </w:tc>
        <w:tc>
          <w:tcPr>
            <w:tcW w:w="6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F3F3"/>
          </w:tcPr>
          <w:p w:rsidR="00BA3BB1" w:rsidRDefault="00BA3BB1">
            <w:pPr>
              <w:rPr>
                <w:rFonts w:ascii="Calibri" w:eastAsia="Calibri" w:hAnsi="Calibri"/>
              </w:rPr>
            </w:pPr>
          </w:p>
        </w:tc>
      </w:tr>
      <w:tr w:rsidR="00BA3BB1"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F3F3"/>
          </w:tcPr>
          <w:p w:rsidR="00BA3BB1" w:rsidRDefault="0040044C">
            <w:pPr>
              <w:pStyle w:val="caption1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</w:rPr>
              <w:t>Nachnutzung der Rückbauflächen</w:t>
            </w:r>
          </w:p>
        </w:tc>
        <w:tc>
          <w:tcPr>
            <w:tcW w:w="6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F3F3"/>
          </w:tcPr>
          <w:p w:rsidR="00BA3BB1" w:rsidRDefault="0040044C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Kein Rückbau vorgesehen</w:t>
            </w:r>
          </w:p>
        </w:tc>
      </w:tr>
    </w:tbl>
    <w:p w:rsidR="00BA3BB1" w:rsidRDefault="00BA3BB1">
      <w:pPr>
        <w:rPr>
          <w:rFonts w:ascii="Arial" w:hAnsi="Arial" w:cs="Arial"/>
          <w:b/>
        </w:rPr>
      </w:pPr>
    </w:p>
    <w:p w:rsidR="00BA3BB1" w:rsidRDefault="0040044C">
      <w:pPr>
        <w:pStyle w:val="berschrift3"/>
        <w:numPr>
          <w:ilvl w:val="0"/>
          <w:numId w:val="0"/>
        </w:numPr>
        <w:ind w:left="737" w:hanging="737"/>
      </w:pPr>
      <w:bookmarkStart w:id="0" w:name="_Toc104795592"/>
      <w:bookmarkStart w:id="1" w:name="_Toc102312350"/>
      <w:r>
        <w:t xml:space="preserve">2.1 Flächen- und Bevölkerungsverteilung im Nahbereich </w:t>
      </w:r>
      <w:proofErr w:type="spellStart"/>
      <w:r>
        <w:t>Woldegk</w:t>
      </w:r>
      <w:bookmarkEnd w:id="0"/>
      <w:bookmarkEnd w:id="1"/>
      <w:proofErr w:type="spellEnd"/>
    </w:p>
    <w:p w:rsidR="00BA3BB1" w:rsidRDefault="00BA3BB1">
      <w:pPr>
        <w:rPr>
          <w:lang w:eastAsia="de-DE"/>
        </w:rPr>
      </w:pPr>
    </w:p>
    <w:p w:rsidR="00BA3BB1" w:rsidRDefault="0040044C">
      <w:pPr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>
            <wp:extent cx="5760720" cy="2402840"/>
            <wp:effectExtent l="0" t="0" r="0" b="0"/>
            <wp:docPr id="2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B1" w:rsidRDefault="00BA3BB1">
      <w:pPr>
        <w:rPr>
          <w:rFonts w:ascii="Arial" w:hAnsi="Arial" w:cs="Arial"/>
          <w:b/>
        </w:rPr>
      </w:pPr>
    </w:p>
    <w:p w:rsidR="00BA3BB1" w:rsidRDefault="0040044C">
      <w:pPr>
        <w:rPr>
          <w:rFonts w:ascii="Arial" w:hAnsi="Arial" w:cs="Arial"/>
          <w:b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4425950" cy="4286250"/>
            <wp:effectExtent l="0" t="0" r="0" b="0"/>
            <wp:docPr id="3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B1" w:rsidRDefault="0040044C">
      <w:pPr>
        <w:pStyle w:val="berschrift3"/>
        <w:numPr>
          <w:ilvl w:val="1"/>
          <w:numId w:val="9"/>
        </w:numPr>
        <w:rPr>
          <w:b/>
        </w:rPr>
      </w:pPr>
      <w:bookmarkStart w:id="2" w:name="_Toc104795593"/>
      <w:bookmarkStart w:id="3" w:name="_Toc102312351"/>
      <w:r>
        <w:t xml:space="preserve">Verteilung der Bodenfläche nach Art der Nutzung im Nahbereich </w:t>
      </w:r>
      <w:proofErr w:type="spellStart"/>
      <w:r>
        <w:t>Woldegk</w:t>
      </w:r>
      <w:bookmarkEnd w:id="2"/>
      <w:bookmarkEnd w:id="3"/>
      <w:proofErr w:type="spellEnd"/>
    </w:p>
    <w:p w:rsidR="00BA3BB1" w:rsidRDefault="0040044C">
      <w:pPr>
        <w:spacing w:after="100"/>
        <w:jc w:val="both"/>
        <w:rPr>
          <w:rFonts w:cs="Arial"/>
          <w:spacing w:val="-2"/>
        </w:rPr>
      </w:pPr>
      <w:r>
        <w:rPr>
          <w:rFonts w:cs="Arial"/>
          <w:spacing w:val="-2"/>
        </w:rPr>
        <w:t>Der Nahbereich belegt eine Gesamtfläche von 424,79 km². Die Bevölkerungsdichte lag im Jahr 2020 bei nur 18 Einwohnern je km². Der Großteil der Bodenfläche mit einem Anteil von 77,3 % sind Landwirtschaftsflächen, 13,6 % sind Waldflächen und nur 0,8 % sind W</w:t>
      </w:r>
      <w:r>
        <w:rPr>
          <w:rFonts w:cs="Arial"/>
          <w:spacing w:val="-2"/>
        </w:rPr>
        <w:t xml:space="preserve">ohnbauflächen. </w:t>
      </w:r>
    </w:p>
    <w:p w:rsidR="00BA3BB1" w:rsidRDefault="0040044C">
      <w:pPr>
        <w:spacing w:after="80"/>
        <w:jc w:val="both"/>
      </w:pPr>
      <w:bookmarkStart w:id="4" w:name="_Toc102386170"/>
      <w:r>
        <w:rPr>
          <w:rFonts w:cs="Tahoma"/>
        </w:rPr>
        <w:t xml:space="preserve">Abbildung </w:t>
      </w:r>
      <w:r>
        <w:fldChar w:fldCharType="begin"/>
      </w:r>
      <w:r>
        <w:instrText>SEQ Abbildung \* ARABIC</w:instrText>
      </w:r>
      <w:r>
        <w:fldChar w:fldCharType="separate"/>
      </w:r>
      <w:r>
        <w:t>1</w:t>
      </w:r>
      <w:r>
        <w:fldChar w:fldCharType="end"/>
      </w:r>
      <w:r>
        <w:rPr>
          <w:rFonts w:cs="Tahoma"/>
        </w:rPr>
        <w:t xml:space="preserve">: </w:t>
      </w:r>
      <w:r>
        <w:rPr>
          <w:rFonts w:cs="Arial"/>
        </w:rPr>
        <w:t>Bodenfläche nach Art der Nutzung (Quelle: Statistisches Amt M-V)</w:t>
      </w:r>
      <w:bookmarkEnd w:id="4"/>
    </w:p>
    <w:p w:rsidR="00BA3BB1" w:rsidRDefault="0040044C">
      <w:pPr>
        <w:spacing w:after="80"/>
        <w:jc w:val="both"/>
        <w:rPr>
          <w:rFonts w:cs="Arial"/>
        </w:rPr>
      </w:pPr>
      <w:r>
        <w:rPr>
          <w:noProof/>
          <w:lang w:eastAsia="de-DE"/>
        </w:rPr>
        <w:drawing>
          <wp:inline distT="0" distB="0" distL="0" distR="0">
            <wp:extent cx="4229100" cy="3367405"/>
            <wp:effectExtent l="0" t="0" r="0" b="0"/>
            <wp:docPr id="4" name="Grafik 2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227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B1" w:rsidRDefault="0040044C">
      <w:pPr>
        <w:pStyle w:val="berschrift3"/>
        <w:numPr>
          <w:ilvl w:val="1"/>
          <w:numId w:val="9"/>
        </w:numPr>
      </w:pPr>
      <w:bookmarkStart w:id="5" w:name="_Toc104795594"/>
      <w:bookmarkStart w:id="6" w:name="_Toc102312352"/>
      <w:r>
        <w:lastRenderedPageBreak/>
        <w:t xml:space="preserve">Verteilung der Siedlungs- und Verkehrsfläche im Nahbereich </w:t>
      </w:r>
      <w:proofErr w:type="spellStart"/>
      <w:r>
        <w:t>Woldegk</w:t>
      </w:r>
      <w:bookmarkEnd w:id="5"/>
      <w:bookmarkEnd w:id="6"/>
      <w:proofErr w:type="spellEnd"/>
    </w:p>
    <w:p w:rsidR="00BA3BB1" w:rsidRDefault="0040044C">
      <w:pPr>
        <w:pStyle w:val="caption1"/>
        <w:widowControl w:val="0"/>
        <w:spacing w:before="0" w:after="10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43,6 % der Siedlungsfläche sind Verkehrsflächen und 11,3 % Erholungs- und Freiflächen. Der Anteil der Gewerbeflächen an der Siedlungsfläche liegt bei 7,7 %. </w:t>
      </w:r>
    </w:p>
    <w:p w:rsidR="00BA3BB1" w:rsidRDefault="0040044C">
      <w:pPr>
        <w:pStyle w:val="caption1"/>
        <w:widowControl w:val="0"/>
        <w:spacing w:before="0" w:after="80"/>
        <w:ind w:left="360"/>
      </w:pPr>
      <w:r>
        <w:rPr>
          <w:rFonts w:cs="Tahoma"/>
          <w:b/>
          <w:bCs/>
          <w:sz w:val="22"/>
          <w:szCs w:val="22"/>
        </w:rPr>
        <w:t xml:space="preserve">Abbildung </w:t>
      </w:r>
      <w:r>
        <w:fldChar w:fldCharType="begin"/>
      </w:r>
      <w:r>
        <w:instrText>SEQ Abbildung \* ARABIC</w:instrText>
      </w:r>
      <w:r>
        <w:fldChar w:fldCharType="separate"/>
      </w:r>
      <w:r>
        <w:t>2</w:t>
      </w:r>
      <w:r>
        <w:fldChar w:fldCharType="end"/>
      </w:r>
      <w:r>
        <w:rPr>
          <w:rFonts w:cs="Tahoma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Siedlungsfläche nach Art der Nutzung (Quelle: Statistisches</w:t>
      </w:r>
      <w:r>
        <w:rPr>
          <w:rFonts w:ascii="Arial" w:hAnsi="Arial" w:cs="Arial"/>
          <w:b/>
          <w:bCs/>
          <w:sz w:val="22"/>
          <w:szCs w:val="22"/>
        </w:rPr>
        <w:t xml:space="preserve"> Amt M-V)</w:t>
      </w:r>
    </w:p>
    <w:p w:rsidR="00BA3BB1" w:rsidRDefault="00BA3BB1">
      <w:pPr>
        <w:rPr>
          <w:lang w:eastAsia="de-DE"/>
        </w:rPr>
      </w:pPr>
    </w:p>
    <w:p w:rsidR="00BA3BB1" w:rsidRDefault="0040044C">
      <w:pPr>
        <w:rPr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3943350" cy="3319780"/>
            <wp:effectExtent l="0" t="0" r="0" b="0"/>
            <wp:docPr id="5" name="Grafik 2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22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B1" w:rsidRDefault="00BA3BB1">
      <w:pPr>
        <w:rPr>
          <w:lang w:eastAsia="de-DE"/>
        </w:rPr>
      </w:pPr>
    </w:p>
    <w:p w:rsidR="00BA3BB1" w:rsidRDefault="0040044C">
      <w:pPr>
        <w:rPr>
          <w:rFonts w:cstheme="minorHAnsi"/>
        </w:rPr>
      </w:pPr>
      <w:r>
        <w:rPr>
          <w:rFonts w:cstheme="minorHAnsi"/>
        </w:rPr>
        <w:t>Bevölkerungsentwicklung nach Gemeinden im Nahbereich</w:t>
      </w:r>
    </w:p>
    <w:p w:rsidR="00BA3BB1" w:rsidRDefault="0040044C">
      <w:pPr>
        <w:rPr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0720" cy="2225040"/>
            <wp:effectExtent l="0" t="0" r="0" b="0"/>
            <wp:docPr id="6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B1" w:rsidRDefault="00BA3BB1">
      <w:pPr>
        <w:rPr>
          <w:rFonts w:ascii="Arial" w:hAnsi="Arial" w:cs="Arial"/>
          <w:b/>
        </w:rPr>
      </w:pPr>
    </w:p>
    <w:p w:rsidR="00BA3BB1" w:rsidRDefault="0040044C">
      <w:pPr>
        <w:rPr>
          <w:rFonts w:cs="Tahoma"/>
        </w:rPr>
      </w:pPr>
      <w:r>
        <w:rPr>
          <w:rFonts w:cs="Tahoma"/>
        </w:rPr>
        <w:t xml:space="preserve">Altersstruktur nach Gemeinden im Nahbereich </w:t>
      </w:r>
      <w:proofErr w:type="spellStart"/>
      <w:r>
        <w:rPr>
          <w:rFonts w:cs="Tahoma"/>
        </w:rPr>
        <w:t>Woldegk</w:t>
      </w:r>
      <w:proofErr w:type="spellEnd"/>
      <w:r>
        <w:rPr>
          <w:rFonts w:cs="Tahoma"/>
        </w:rPr>
        <w:t xml:space="preserve"> im Jahr 2020</w:t>
      </w:r>
    </w:p>
    <w:p w:rsidR="00BA3BB1" w:rsidRDefault="0040044C">
      <w:pPr>
        <w:rPr>
          <w:rFonts w:ascii="Arial" w:hAnsi="Arial" w:cs="Arial"/>
          <w:b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760720" cy="2240915"/>
            <wp:effectExtent l="0" t="0" r="0" b="0"/>
            <wp:docPr id="7" name="Grafik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4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B1" w:rsidRDefault="00BA3BB1">
      <w:pPr>
        <w:rPr>
          <w:rFonts w:ascii="Arial" w:hAnsi="Arial" w:cs="Arial"/>
          <w:b/>
        </w:rPr>
      </w:pPr>
    </w:p>
    <w:p w:rsidR="00BA3BB1" w:rsidRDefault="0040044C">
      <w:pPr>
        <w:rPr>
          <w:rFonts w:cs="Tahoma"/>
        </w:rPr>
      </w:pPr>
      <w:r>
        <w:rPr>
          <w:rFonts w:cs="Tahoma"/>
        </w:rPr>
        <w:t xml:space="preserve"> Bevölkerungsanteile nach Gemeinden im Nahbereich </w:t>
      </w:r>
      <w:proofErr w:type="spellStart"/>
      <w:r>
        <w:rPr>
          <w:rFonts w:cs="Tahoma"/>
        </w:rPr>
        <w:t>Woldegk</w:t>
      </w:r>
      <w:proofErr w:type="spellEnd"/>
      <w:r>
        <w:rPr>
          <w:rFonts w:cs="Tahoma"/>
        </w:rPr>
        <w:t xml:space="preserve"> im Jahr 2020</w:t>
      </w:r>
    </w:p>
    <w:p w:rsidR="00BA3BB1" w:rsidRDefault="00BA3BB1">
      <w:pPr>
        <w:rPr>
          <w:rFonts w:cs="Tahoma"/>
        </w:rPr>
      </w:pPr>
    </w:p>
    <w:p w:rsidR="00BA3BB1" w:rsidRDefault="0040044C">
      <w:pPr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>
            <wp:extent cx="5760720" cy="2256155"/>
            <wp:effectExtent l="0" t="0" r="0" b="0"/>
            <wp:docPr id="8" name="Grafik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4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B1" w:rsidRDefault="00BA3BB1">
      <w:pPr>
        <w:rPr>
          <w:rFonts w:ascii="Arial" w:hAnsi="Arial" w:cs="Arial"/>
          <w:b/>
        </w:rPr>
      </w:pPr>
    </w:p>
    <w:p w:rsidR="00BA3BB1" w:rsidRDefault="0040044C">
      <w:pPr>
        <w:rPr>
          <w:rFonts w:cs="Tahoma"/>
        </w:rPr>
      </w:pPr>
      <w:r>
        <w:rPr>
          <w:rFonts w:cs="Tahoma"/>
        </w:rPr>
        <w:t xml:space="preserve"> Bevölkerungsvorausberechnung für den Nahbe</w:t>
      </w:r>
      <w:r>
        <w:rPr>
          <w:rFonts w:cs="Tahoma"/>
        </w:rPr>
        <w:t xml:space="preserve">reich </w:t>
      </w:r>
      <w:proofErr w:type="spellStart"/>
      <w:r>
        <w:rPr>
          <w:rFonts w:cs="Tahoma"/>
        </w:rPr>
        <w:t>Woldegk</w:t>
      </w:r>
      <w:proofErr w:type="spellEnd"/>
    </w:p>
    <w:p w:rsidR="00BA3BB1" w:rsidRDefault="0040044C">
      <w:pPr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>
            <wp:extent cx="5760720" cy="2369820"/>
            <wp:effectExtent l="0" t="0" r="0" b="0"/>
            <wp:docPr id="9" name="Grafik 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229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B1" w:rsidRDefault="00BA3BB1">
      <w:pPr>
        <w:rPr>
          <w:rFonts w:ascii="Arial" w:hAnsi="Arial" w:cs="Arial"/>
          <w:b/>
        </w:rPr>
      </w:pPr>
    </w:p>
    <w:p w:rsidR="00BA3BB1" w:rsidRDefault="0040044C">
      <w:pPr>
        <w:rPr>
          <w:rFonts w:cs="Tahoma"/>
        </w:rPr>
      </w:pPr>
      <w:r>
        <w:rPr>
          <w:rFonts w:cs="Tahoma"/>
        </w:rPr>
        <w:t xml:space="preserve">Veränderung der Altersstruktur im Nahbereich </w:t>
      </w:r>
      <w:proofErr w:type="spellStart"/>
      <w:r>
        <w:rPr>
          <w:rFonts w:cs="Tahoma"/>
        </w:rPr>
        <w:t>Woldegk</w:t>
      </w:r>
      <w:proofErr w:type="spellEnd"/>
    </w:p>
    <w:p w:rsidR="00BA3BB1" w:rsidRDefault="0040044C">
      <w:pPr>
        <w:rPr>
          <w:rFonts w:ascii="Arial" w:hAnsi="Arial" w:cs="Arial"/>
          <w:b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760720" cy="1816100"/>
            <wp:effectExtent l="0" t="0" r="0" b="0"/>
            <wp:docPr id="10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Für den Planungszeitraum 2024 sind insgesamt 96 Einwohner eingerechnet.</w:t>
      </w: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Für die Kinder bis 6 Jahre sind Zuweisungen für Kindergartenplätze zu zahlen, für Kinder ab 7-18 fallen die </w:t>
      </w:r>
      <w:r>
        <w:rPr>
          <w:sz w:val="23"/>
          <w:szCs w:val="23"/>
        </w:rPr>
        <w:t>Kosten für den Schullastenausgleich an.</w:t>
      </w: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Die Gemeinde hält keine Schule vor und keine Betreuung für Kindergartenkinder.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2.4</w:t>
      </w:r>
      <w:r>
        <w:rPr>
          <w:b/>
          <w:sz w:val="23"/>
          <w:szCs w:val="23"/>
        </w:rPr>
        <w:tab/>
        <w:t>Schulden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Gemeinde hat Schulden in Höhe von 6,1 T€ Stand 01.01.2024, der Sollstand zum Jahresende wird 0,9 T€ betragen. Für </w:t>
      </w:r>
      <w:r>
        <w:rPr>
          <w:sz w:val="23"/>
          <w:szCs w:val="23"/>
        </w:rPr>
        <w:t>Tilgungsleistungen sind 5,2 T€ und für Zinsen 2,3 T€ eingeplant.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Die Tilgungsleistungen für   2025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0,9 T€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 dem Jahr 2026 hätte die Gemeinde </w:t>
      </w:r>
      <w:proofErr w:type="spellStart"/>
      <w:r>
        <w:rPr>
          <w:sz w:val="23"/>
          <w:szCs w:val="23"/>
        </w:rPr>
        <w:t>Voigtsdorf</w:t>
      </w:r>
      <w:proofErr w:type="spellEnd"/>
      <w:r>
        <w:rPr>
          <w:sz w:val="23"/>
          <w:szCs w:val="23"/>
        </w:rPr>
        <w:t xml:space="preserve"> keine Kredite mehr.</w:t>
      </w: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Die Zins- und Tilgungsleistungen werden aus dem Kassenkredit gezahlt. Die Gemei</w:t>
      </w:r>
      <w:r>
        <w:rPr>
          <w:sz w:val="23"/>
          <w:szCs w:val="23"/>
        </w:rPr>
        <w:t>nde hat keine eigenen liquiden Mittel mehr.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Zum 31.12.2023 hatte die Gemeinde einen Kassenkredit in Höhe von </w:t>
      </w:r>
      <w:r>
        <w:t>54.489,17</w:t>
      </w:r>
      <w:r>
        <w:rPr>
          <w:sz w:val="23"/>
          <w:szCs w:val="23"/>
        </w:rPr>
        <w:t>€.</w:t>
      </w: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Dieser wird mit der Planung 2024 voraussichtlich auf 127.500 € steigen. 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2.5 Hebesätze, Pachten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2015</w:t>
      </w:r>
      <w:r>
        <w:rPr>
          <w:sz w:val="23"/>
          <w:szCs w:val="23"/>
        </w:rPr>
        <w:tab/>
        <w:t>2016</w:t>
      </w:r>
      <w:r>
        <w:rPr>
          <w:sz w:val="23"/>
          <w:szCs w:val="23"/>
        </w:rPr>
        <w:tab/>
        <w:t>2017</w:t>
      </w:r>
      <w:r>
        <w:rPr>
          <w:sz w:val="23"/>
          <w:szCs w:val="23"/>
        </w:rPr>
        <w:tab/>
        <w:t>2018</w:t>
      </w:r>
      <w:r>
        <w:rPr>
          <w:sz w:val="23"/>
          <w:szCs w:val="23"/>
        </w:rPr>
        <w:tab/>
        <w:t>2019</w:t>
      </w:r>
      <w:r>
        <w:rPr>
          <w:sz w:val="23"/>
          <w:szCs w:val="23"/>
        </w:rPr>
        <w:tab/>
        <w:t>2020</w:t>
      </w:r>
      <w:r>
        <w:rPr>
          <w:sz w:val="23"/>
          <w:szCs w:val="23"/>
        </w:rPr>
        <w:tab/>
        <w:t>20</w:t>
      </w:r>
      <w:r>
        <w:rPr>
          <w:sz w:val="23"/>
          <w:szCs w:val="23"/>
        </w:rPr>
        <w:t>21</w:t>
      </w:r>
      <w:r>
        <w:rPr>
          <w:sz w:val="23"/>
          <w:szCs w:val="23"/>
        </w:rPr>
        <w:tab/>
        <w:t>2022</w:t>
      </w:r>
      <w:r>
        <w:rPr>
          <w:sz w:val="23"/>
          <w:szCs w:val="23"/>
        </w:rPr>
        <w:tab/>
        <w:t>2023 2024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Grundsteuer A</w:t>
      </w:r>
      <w:r>
        <w:rPr>
          <w:sz w:val="23"/>
          <w:szCs w:val="23"/>
        </w:rPr>
        <w:tab/>
        <w:t>300 %</w:t>
      </w:r>
      <w:r>
        <w:rPr>
          <w:sz w:val="23"/>
          <w:szCs w:val="23"/>
        </w:rPr>
        <w:tab/>
        <w:t>300 %</w:t>
      </w:r>
      <w:r>
        <w:rPr>
          <w:sz w:val="23"/>
          <w:szCs w:val="23"/>
        </w:rPr>
        <w:tab/>
        <w:t>300 % 300 %</w:t>
      </w:r>
      <w:r>
        <w:rPr>
          <w:sz w:val="23"/>
          <w:szCs w:val="23"/>
        </w:rPr>
        <w:tab/>
        <w:t>300%</w:t>
      </w:r>
      <w:r>
        <w:rPr>
          <w:sz w:val="23"/>
          <w:szCs w:val="23"/>
        </w:rPr>
        <w:tab/>
        <w:t>340%</w:t>
      </w:r>
      <w:r>
        <w:rPr>
          <w:sz w:val="23"/>
          <w:szCs w:val="23"/>
        </w:rPr>
        <w:tab/>
        <w:t>340%</w:t>
      </w:r>
      <w:r>
        <w:rPr>
          <w:sz w:val="23"/>
          <w:szCs w:val="23"/>
        </w:rPr>
        <w:tab/>
        <w:t>350%</w:t>
      </w:r>
      <w:r>
        <w:rPr>
          <w:sz w:val="23"/>
          <w:szCs w:val="23"/>
        </w:rPr>
        <w:tab/>
        <w:t>350% 355%</w:t>
      </w: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Grundsteuer B</w:t>
      </w:r>
      <w:r>
        <w:rPr>
          <w:sz w:val="23"/>
          <w:szCs w:val="23"/>
        </w:rPr>
        <w:tab/>
        <w:t>380 %</w:t>
      </w:r>
      <w:r>
        <w:rPr>
          <w:sz w:val="23"/>
          <w:szCs w:val="23"/>
        </w:rPr>
        <w:tab/>
        <w:t>380 %</w:t>
      </w:r>
      <w:r>
        <w:rPr>
          <w:sz w:val="23"/>
          <w:szCs w:val="23"/>
        </w:rPr>
        <w:tab/>
        <w:t>380 %</w:t>
      </w:r>
      <w:r>
        <w:rPr>
          <w:sz w:val="23"/>
          <w:szCs w:val="23"/>
        </w:rPr>
        <w:tab/>
        <w:t>380 %</w:t>
      </w:r>
      <w:r>
        <w:rPr>
          <w:sz w:val="23"/>
          <w:szCs w:val="23"/>
        </w:rPr>
        <w:tab/>
        <w:t>380%</w:t>
      </w:r>
      <w:r>
        <w:rPr>
          <w:sz w:val="23"/>
          <w:szCs w:val="23"/>
        </w:rPr>
        <w:tab/>
        <w:t>395 %</w:t>
      </w:r>
      <w:r>
        <w:rPr>
          <w:sz w:val="23"/>
          <w:szCs w:val="23"/>
        </w:rPr>
        <w:tab/>
        <w:t>395%</w:t>
      </w:r>
      <w:r>
        <w:rPr>
          <w:sz w:val="23"/>
          <w:szCs w:val="23"/>
        </w:rPr>
        <w:tab/>
        <w:t>410%</w:t>
      </w:r>
      <w:r>
        <w:rPr>
          <w:sz w:val="23"/>
          <w:szCs w:val="23"/>
        </w:rPr>
        <w:tab/>
        <w:t>410% 410%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Gewerbesteuer</w:t>
      </w:r>
      <w:r>
        <w:rPr>
          <w:sz w:val="23"/>
          <w:szCs w:val="23"/>
        </w:rPr>
        <w:tab/>
        <w:t>380 %</w:t>
      </w:r>
      <w:r>
        <w:rPr>
          <w:sz w:val="23"/>
          <w:szCs w:val="23"/>
        </w:rPr>
        <w:tab/>
        <w:t>380 %</w:t>
      </w:r>
      <w:r>
        <w:rPr>
          <w:sz w:val="23"/>
          <w:szCs w:val="23"/>
        </w:rPr>
        <w:tab/>
        <w:t>380 %</w:t>
      </w:r>
      <w:r>
        <w:rPr>
          <w:sz w:val="23"/>
          <w:szCs w:val="23"/>
        </w:rPr>
        <w:tab/>
        <w:t>380 %</w:t>
      </w:r>
      <w:r>
        <w:rPr>
          <w:sz w:val="23"/>
          <w:szCs w:val="23"/>
        </w:rPr>
        <w:tab/>
        <w:t>380%</w:t>
      </w:r>
      <w:r>
        <w:rPr>
          <w:sz w:val="23"/>
          <w:szCs w:val="23"/>
        </w:rPr>
        <w:tab/>
        <w:t>380%</w:t>
      </w:r>
      <w:r>
        <w:rPr>
          <w:sz w:val="23"/>
          <w:szCs w:val="23"/>
        </w:rPr>
        <w:tab/>
        <w:t>380%</w:t>
      </w:r>
      <w:r>
        <w:rPr>
          <w:sz w:val="23"/>
          <w:szCs w:val="23"/>
        </w:rPr>
        <w:tab/>
        <w:t>380%</w:t>
      </w:r>
      <w:r>
        <w:rPr>
          <w:sz w:val="23"/>
          <w:szCs w:val="23"/>
        </w:rPr>
        <w:tab/>
        <w:t>380% 395%</w:t>
      </w: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Garagenpacht    </w:t>
      </w:r>
      <w:r>
        <w:rPr>
          <w:sz w:val="23"/>
          <w:szCs w:val="23"/>
        </w:rPr>
        <w:tab/>
        <w:t>30,68</w:t>
      </w:r>
      <w:r>
        <w:rPr>
          <w:sz w:val="23"/>
          <w:szCs w:val="23"/>
        </w:rPr>
        <w:tab/>
        <w:t xml:space="preserve">97,67 </w:t>
      </w:r>
      <w:r>
        <w:rPr>
          <w:sz w:val="23"/>
          <w:szCs w:val="23"/>
        </w:rPr>
        <w:t>120,00</w:t>
      </w:r>
      <w:r>
        <w:rPr>
          <w:sz w:val="23"/>
          <w:szCs w:val="23"/>
        </w:rPr>
        <w:tab/>
        <w:t>120,00</w:t>
      </w:r>
      <w:r>
        <w:rPr>
          <w:sz w:val="23"/>
          <w:szCs w:val="23"/>
        </w:rPr>
        <w:tab/>
        <w:t>120,00</w:t>
      </w:r>
      <w:r>
        <w:rPr>
          <w:sz w:val="23"/>
          <w:szCs w:val="23"/>
        </w:rPr>
        <w:tab/>
        <w:t>120,00</w:t>
      </w:r>
      <w:r>
        <w:rPr>
          <w:sz w:val="23"/>
          <w:szCs w:val="23"/>
        </w:rPr>
        <w:tab/>
        <w:t>120,00 150,00 150,00 150,00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Darstellung der Erträge von 2015-2024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BA3BB1">
      <w:pPr>
        <w:pStyle w:val="Default"/>
        <w:rPr>
          <w:sz w:val="23"/>
          <w:szCs w:val="23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790"/>
        <w:gridCol w:w="734"/>
        <w:gridCol w:w="730"/>
        <w:gridCol w:w="744"/>
        <w:gridCol w:w="728"/>
        <w:gridCol w:w="742"/>
        <w:gridCol w:w="729"/>
        <w:gridCol w:w="745"/>
        <w:gridCol w:w="728"/>
        <w:gridCol w:w="728"/>
        <w:gridCol w:w="664"/>
      </w:tblGrid>
      <w:tr w:rsidR="00BA3BB1">
        <w:trPr>
          <w:trHeight w:val="388"/>
        </w:trPr>
        <w:tc>
          <w:tcPr>
            <w:tcW w:w="1789" w:type="dxa"/>
            <w:shd w:val="clear" w:color="auto" w:fill="auto"/>
          </w:tcPr>
          <w:p w:rsidR="00BA3BB1" w:rsidRDefault="00BA3B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4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730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74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72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743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729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746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727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72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661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</w:tr>
      <w:tr w:rsidR="00BA3BB1">
        <w:tc>
          <w:tcPr>
            <w:tcW w:w="1789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Grundsteuer A</w:t>
            </w:r>
          </w:p>
        </w:tc>
        <w:tc>
          <w:tcPr>
            <w:tcW w:w="734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</w:t>
            </w:r>
          </w:p>
        </w:tc>
        <w:tc>
          <w:tcPr>
            <w:tcW w:w="730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</w:t>
            </w:r>
          </w:p>
        </w:tc>
        <w:tc>
          <w:tcPr>
            <w:tcW w:w="74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7,9</w:t>
            </w:r>
          </w:p>
        </w:tc>
        <w:tc>
          <w:tcPr>
            <w:tcW w:w="72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7,9</w:t>
            </w:r>
          </w:p>
        </w:tc>
        <w:tc>
          <w:tcPr>
            <w:tcW w:w="743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</w:t>
            </w:r>
          </w:p>
        </w:tc>
        <w:tc>
          <w:tcPr>
            <w:tcW w:w="729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7,4</w:t>
            </w:r>
          </w:p>
        </w:tc>
        <w:tc>
          <w:tcPr>
            <w:tcW w:w="746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7,2</w:t>
            </w:r>
          </w:p>
        </w:tc>
        <w:tc>
          <w:tcPr>
            <w:tcW w:w="727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72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661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5,7</w:t>
            </w:r>
          </w:p>
        </w:tc>
      </w:tr>
      <w:tr w:rsidR="00BA3BB1">
        <w:tc>
          <w:tcPr>
            <w:tcW w:w="1789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Grundsteuer B</w:t>
            </w:r>
          </w:p>
        </w:tc>
        <w:tc>
          <w:tcPr>
            <w:tcW w:w="734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10,6</w:t>
            </w:r>
          </w:p>
        </w:tc>
        <w:tc>
          <w:tcPr>
            <w:tcW w:w="730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10,9</w:t>
            </w:r>
          </w:p>
        </w:tc>
        <w:tc>
          <w:tcPr>
            <w:tcW w:w="74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10,5</w:t>
            </w:r>
          </w:p>
        </w:tc>
        <w:tc>
          <w:tcPr>
            <w:tcW w:w="72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10,3</w:t>
            </w:r>
          </w:p>
        </w:tc>
        <w:tc>
          <w:tcPr>
            <w:tcW w:w="743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10,8</w:t>
            </w:r>
          </w:p>
        </w:tc>
        <w:tc>
          <w:tcPr>
            <w:tcW w:w="729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11,1</w:t>
            </w:r>
          </w:p>
        </w:tc>
        <w:tc>
          <w:tcPr>
            <w:tcW w:w="746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11,2</w:t>
            </w:r>
          </w:p>
        </w:tc>
        <w:tc>
          <w:tcPr>
            <w:tcW w:w="727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11,4</w:t>
            </w:r>
          </w:p>
        </w:tc>
        <w:tc>
          <w:tcPr>
            <w:tcW w:w="72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11,4</w:t>
            </w:r>
          </w:p>
        </w:tc>
        <w:tc>
          <w:tcPr>
            <w:tcW w:w="661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11,4</w:t>
            </w:r>
          </w:p>
        </w:tc>
      </w:tr>
      <w:tr w:rsidR="00BA3BB1">
        <w:tc>
          <w:tcPr>
            <w:tcW w:w="1789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Gewerbesteuer</w:t>
            </w:r>
          </w:p>
        </w:tc>
        <w:tc>
          <w:tcPr>
            <w:tcW w:w="734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730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</w:t>
            </w:r>
          </w:p>
        </w:tc>
        <w:tc>
          <w:tcPr>
            <w:tcW w:w="74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</w:t>
            </w:r>
          </w:p>
        </w:tc>
        <w:tc>
          <w:tcPr>
            <w:tcW w:w="72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743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729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</w:t>
            </w:r>
          </w:p>
        </w:tc>
        <w:tc>
          <w:tcPr>
            <w:tcW w:w="746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</w:t>
            </w:r>
          </w:p>
        </w:tc>
        <w:tc>
          <w:tcPr>
            <w:tcW w:w="727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5,2</w:t>
            </w:r>
          </w:p>
        </w:tc>
        <w:tc>
          <w:tcPr>
            <w:tcW w:w="72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  <w:tc>
          <w:tcPr>
            <w:tcW w:w="661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</w:tr>
    </w:tbl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Darstellung der Einzahlungen von 2015-2024</w:t>
      </w:r>
    </w:p>
    <w:p w:rsidR="00BA3BB1" w:rsidRDefault="00BA3BB1">
      <w:pPr>
        <w:pStyle w:val="Default"/>
        <w:rPr>
          <w:sz w:val="23"/>
          <w:szCs w:val="23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789"/>
        <w:gridCol w:w="741"/>
        <w:gridCol w:w="771"/>
        <w:gridCol w:w="775"/>
        <w:gridCol w:w="772"/>
        <w:gridCol w:w="772"/>
        <w:gridCol w:w="775"/>
        <w:gridCol w:w="772"/>
        <w:gridCol w:w="728"/>
        <w:gridCol w:w="728"/>
        <w:gridCol w:w="728"/>
      </w:tblGrid>
      <w:tr w:rsidR="00BA3BB1">
        <w:tc>
          <w:tcPr>
            <w:tcW w:w="1789" w:type="dxa"/>
            <w:shd w:val="clear" w:color="auto" w:fill="auto"/>
          </w:tcPr>
          <w:p w:rsidR="00BA3BB1" w:rsidRDefault="00BA3B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2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771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77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772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772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77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772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72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72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72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</w:tr>
      <w:tr w:rsidR="00BA3BB1">
        <w:tc>
          <w:tcPr>
            <w:tcW w:w="1789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Grundsteuer A</w:t>
            </w:r>
          </w:p>
        </w:tc>
        <w:tc>
          <w:tcPr>
            <w:tcW w:w="742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</w:t>
            </w:r>
          </w:p>
        </w:tc>
        <w:tc>
          <w:tcPr>
            <w:tcW w:w="771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</w:t>
            </w:r>
          </w:p>
        </w:tc>
        <w:tc>
          <w:tcPr>
            <w:tcW w:w="77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7,9</w:t>
            </w:r>
          </w:p>
        </w:tc>
        <w:tc>
          <w:tcPr>
            <w:tcW w:w="772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7,9</w:t>
            </w:r>
          </w:p>
        </w:tc>
        <w:tc>
          <w:tcPr>
            <w:tcW w:w="772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</w:t>
            </w:r>
          </w:p>
        </w:tc>
        <w:tc>
          <w:tcPr>
            <w:tcW w:w="77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7,4</w:t>
            </w:r>
          </w:p>
        </w:tc>
        <w:tc>
          <w:tcPr>
            <w:tcW w:w="772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7,2</w:t>
            </w:r>
          </w:p>
        </w:tc>
        <w:tc>
          <w:tcPr>
            <w:tcW w:w="72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72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72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5,7</w:t>
            </w:r>
          </w:p>
        </w:tc>
      </w:tr>
      <w:tr w:rsidR="00BA3BB1">
        <w:tc>
          <w:tcPr>
            <w:tcW w:w="1789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Grundsteuer B</w:t>
            </w:r>
          </w:p>
        </w:tc>
        <w:tc>
          <w:tcPr>
            <w:tcW w:w="742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10,6</w:t>
            </w:r>
          </w:p>
        </w:tc>
        <w:tc>
          <w:tcPr>
            <w:tcW w:w="771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10,9</w:t>
            </w:r>
          </w:p>
        </w:tc>
        <w:tc>
          <w:tcPr>
            <w:tcW w:w="77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10,6</w:t>
            </w:r>
          </w:p>
        </w:tc>
        <w:tc>
          <w:tcPr>
            <w:tcW w:w="772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10,3</w:t>
            </w:r>
          </w:p>
        </w:tc>
        <w:tc>
          <w:tcPr>
            <w:tcW w:w="772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10,8</w:t>
            </w:r>
          </w:p>
        </w:tc>
        <w:tc>
          <w:tcPr>
            <w:tcW w:w="77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11,0</w:t>
            </w:r>
          </w:p>
        </w:tc>
        <w:tc>
          <w:tcPr>
            <w:tcW w:w="772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10,9</w:t>
            </w:r>
          </w:p>
        </w:tc>
        <w:tc>
          <w:tcPr>
            <w:tcW w:w="72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11,3</w:t>
            </w:r>
          </w:p>
        </w:tc>
        <w:tc>
          <w:tcPr>
            <w:tcW w:w="72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11,4</w:t>
            </w:r>
          </w:p>
        </w:tc>
        <w:tc>
          <w:tcPr>
            <w:tcW w:w="72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11,4</w:t>
            </w:r>
          </w:p>
        </w:tc>
      </w:tr>
      <w:tr w:rsidR="00BA3BB1">
        <w:tc>
          <w:tcPr>
            <w:tcW w:w="1789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Gewerbesteuer</w:t>
            </w:r>
          </w:p>
        </w:tc>
        <w:tc>
          <w:tcPr>
            <w:tcW w:w="742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  <w:tc>
          <w:tcPr>
            <w:tcW w:w="771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</w:t>
            </w:r>
          </w:p>
        </w:tc>
        <w:tc>
          <w:tcPr>
            <w:tcW w:w="77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</w:t>
            </w:r>
          </w:p>
        </w:tc>
        <w:tc>
          <w:tcPr>
            <w:tcW w:w="772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772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77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  <w:tc>
          <w:tcPr>
            <w:tcW w:w="772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  <w:tc>
          <w:tcPr>
            <w:tcW w:w="72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5,2</w:t>
            </w:r>
          </w:p>
        </w:tc>
        <w:tc>
          <w:tcPr>
            <w:tcW w:w="72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  <w:tc>
          <w:tcPr>
            <w:tcW w:w="72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</w:tr>
    </w:tbl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tabellarische Darstellung zeigt auf, dass die Erträge und Einzahlungen bei der Grundsteuer A und B über die Jahre sich stabil zeigt. Die Darstellung der </w:t>
      </w:r>
      <w:r>
        <w:rPr>
          <w:sz w:val="23"/>
          <w:szCs w:val="23"/>
        </w:rPr>
        <w:t>Gewerbesteuer ist nicht repräsentativ, da diese schwankt.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2.6 Wohnungswirtschaft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Gemeinde hat 1 Wohnblock mit 24 WE. </w:t>
      </w:r>
    </w:p>
    <w:p w:rsidR="00BA3BB1" w:rsidRDefault="0040044C">
      <w:pPr>
        <w:pStyle w:val="Default"/>
      </w:pPr>
      <w:r>
        <w:rPr>
          <w:sz w:val="23"/>
          <w:szCs w:val="23"/>
        </w:rPr>
        <w:t>In der Dorfstraße 39-41 (24 WE) sind 10 Wohnungen vermietet. Somit erzielt die Gemeinde aus 14</w:t>
      </w:r>
      <w:r>
        <w:rPr>
          <w:sz w:val="23"/>
          <w:szCs w:val="23"/>
        </w:rPr>
        <w:t xml:space="preserve"> nicht vermieteten Wohnungen keine Mieteinnahmen.</w:t>
      </w: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Der Block wird verkauft. Das Gutachten liegt vor. Der Block ist 2 x im Landboten zum Verkauf angeboten worden.</w:t>
      </w:r>
    </w:p>
    <w:p w:rsidR="00BA3BB1" w:rsidRDefault="00BA3BB1">
      <w:pPr>
        <w:pStyle w:val="Default"/>
        <w:rPr>
          <w:sz w:val="23"/>
          <w:szCs w:val="23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135"/>
        <w:gridCol w:w="1284"/>
        <w:gridCol w:w="1286"/>
        <w:gridCol w:w="1285"/>
        <w:gridCol w:w="1277"/>
        <w:gridCol w:w="1240"/>
        <w:gridCol w:w="1240"/>
      </w:tblGrid>
      <w:tr w:rsidR="00BA3BB1">
        <w:tc>
          <w:tcPr>
            <w:tcW w:w="2135" w:type="dxa"/>
            <w:shd w:val="clear" w:color="auto" w:fill="auto"/>
          </w:tcPr>
          <w:p w:rsidR="00BA3BB1" w:rsidRDefault="00BA3BB1">
            <w:pPr>
              <w:pStyle w:val="Default"/>
              <w:rPr>
                <w:i/>
                <w:sz w:val="23"/>
                <w:szCs w:val="23"/>
              </w:rPr>
            </w:pPr>
          </w:p>
        </w:tc>
        <w:tc>
          <w:tcPr>
            <w:tcW w:w="1294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2018</w:t>
            </w:r>
          </w:p>
        </w:tc>
        <w:tc>
          <w:tcPr>
            <w:tcW w:w="1296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2019</w:t>
            </w:r>
          </w:p>
        </w:tc>
        <w:tc>
          <w:tcPr>
            <w:tcW w:w="1295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2020</w:t>
            </w:r>
          </w:p>
        </w:tc>
        <w:tc>
          <w:tcPr>
            <w:tcW w:w="1285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2021</w:t>
            </w:r>
          </w:p>
        </w:tc>
        <w:tc>
          <w:tcPr>
            <w:tcW w:w="1240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2022</w:t>
            </w:r>
          </w:p>
        </w:tc>
        <w:tc>
          <w:tcPr>
            <w:tcW w:w="1201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2023</w:t>
            </w:r>
          </w:p>
        </w:tc>
      </w:tr>
      <w:tr w:rsidR="00BA3BB1">
        <w:tc>
          <w:tcPr>
            <w:tcW w:w="2135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Erträge</w:t>
            </w:r>
          </w:p>
        </w:tc>
        <w:tc>
          <w:tcPr>
            <w:tcW w:w="1294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28.662,08</w:t>
            </w:r>
          </w:p>
        </w:tc>
        <w:tc>
          <w:tcPr>
            <w:tcW w:w="1296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43.161,61</w:t>
            </w:r>
          </w:p>
        </w:tc>
        <w:tc>
          <w:tcPr>
            <w:tcW w:w="1295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42.322,47</w:t>
            </w:r>
          </w:p>
        </w:tc>
        <w:tc>
          <w:tcPr>
            <w:tcW w:w="1285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51.606,15</w:t>
            </w:r>
          </w:p>
        </w:tc>
        <w:tc>
          <w:tcPr>
            <w:tcW w:w="1240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55.116,46</w:t>
            </w:r>
          </w:p>
        </w:tc>
        <w:tc>
          <w:tcPr>
            <w:tcW w:w="1201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40.386,64</w:t>
            </w:r>
          </w:p>
        </w:tc>
      </w:tr>
      <w:tr w:rsidR="00BA3BB1">
        <w:tc>
          <w:tcPr>
            <w:tcW w:w="2135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Aufwendungen</w:t>
            </w:r>
          </w:p>
        </w:tc>
        <w:tc>
          <w:tcPr>
            <w:tcW w:w="1294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29.792,23</w:t>
            </w:r>
          </w:p>
        </w:tc>
        <w:tc>
          <w:tcPr>
            <w:tcW w:w="1296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39.174,57</w:t>
            </w:r>
          </w:p>
        </w:tc>
        <w:tc>
          <w:tcPr>
            <w:tcW w:w="1295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44.518,35</w:t>
            </w:r>
          </w:p>
        </w:tc>
        <w:tc>
          <w:tcPr>
            <w:tcW w:w="1285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49.628,07</w:t>
            </w:r>
          </w:p>
        </w:tc>
        <w:tc>
          <w:tcPr>
            <w:tcW w:w="1240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56.931,36</w:t>
            </w:r>
          </w:p>
        </w:tc>
        <w:tc>
          <w:tcPr>
            <w:tcW w:w="1201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38.814,00</w:t>
            </w:r>
          </w:p>
        </w:tc>
      </w:tr>
      <w:tr w:rsidR="00BA3BB1">
        <w:tc>
          <w:tcPr>
            <w:tcW w:w="2135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Tilgungsleistungen</w:t>
            </w:r>
          </w:p>
        </w:tc>
        <w:tc>
          <w:tcPr>
            <w:tcW w:w="1294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36.533,87</w:t>
            </w:r>
          </w:p>
        </w:tc>
        <w:tc>
          <w:tcPr>
            <w:tcW w:w="1296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39.467,73</w:t>
            </w:r>
          </w:p>
        </w:tc>
        <w:tc>
          <w:tcPr>
            <w:tcW w:w="1295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40.495,89</w:t>
            </w:r>
          </w:p>
        </w:tc>
        <w:tc>
          <w:tcPr>
            <w:tcW w:w="1285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19.895,86</w:t>
            </w:r>
          </w:p>
        </w:tc>
        <w:tc>
          <w:tcPr>
            <w:tcW w:w="1240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8.031,91</w:t>
            </w:r>
          </w:p>
        </w:tc>
        <w:tc>
          <w:tcPr>
            <w:tcW w:w="1201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5.827,11</w:t>
            </w:r>
          </w:p>
        </w:tc>
      </w:tr>
      <w:tr w:rsidR="00BA3BB1">
        <w:tc>
          <w:tcPr>
            <w:tcW w:w="2135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Zinszahlungen</w:t>
            </w:r>
          </w:p>
        </w:tc>
        <w:tc>
          <w:tcPr>
            <w:tcW w:w="1294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7.306,77</w:t>
            </w:r>
          </w:p>
        </w:tc>
        <w:tc>
          <w:tcPr>
            <w:tcW w:w="1296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5.639,78</w:t>
            </w:r>
          </w:p>
        </w:tc>
        <w:tc>
          <w:tcPr>
            <w:tcW w:w="1295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3.737,24</w:t>
            </w:r>
          </w:p>
        </w:tc>
        <w:tc>
          <w:tcPr>
            <w:tcW w:w="1285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1.960,36</w:t>
            </w:r>
          </w:p>
        </w:tc>
        <w:tc>
          <w:tcPr>
            <w:tcW w:w="1240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2.100,51</w:t>
            </w:r>
          </w:p>
        </w:tc>
        <w:tc>
          <w:tcPr>
            <w:tcW w:w="1201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186,60</w:t>
            </w:r>
          </w:p>
        </w:tc>
      </w:tr>
      <w:tr w:rsidR="00BA3BB1">
        <w:tc>
          <w:tcPr>
            <w:tcW w:w="2135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Zuschuss</w:t>
            </w:r>
          </w:p>
        </w:tc>
        <w:tc>
          <w:tcPr>
            <w:tcW w:w="1294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44.970,79</w:t>
            </w:r>
          </w:p>
        </w:tc>
        <w:tc>
          <w:tcPr>
            <w:tcW w:w="1296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41.120,47</w:t>
            </w:r>
          </w:p>
        </w:tc>
        <w:tc>
          <w:tcPr>
            <w:tcW w:w="1295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46.429,01</w:t>
            </w:r>
          </w:p>
        </w:tc>
        <w:tc>
          <w:tcPr>
            <w:tcW w:w="1285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19.518,14</w:t>
            </w:r>
          </w:p>
        </w:tc>
        <w:tc>
          <w:tcPr>
            <w:tcW w:w="1240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11.947,32</w:t>
            </w:r>
          </w:p>
        </w:tc>
        <w:tc>
          <w:tcPr>
            <w:tcW w:w="1201" w:type="dxa"/>
            <w:shd w:val="clear" w:color="auto" w:fill="auto"/>
          </w:tcPr>
          <w:p w:rsidR="00BA3BB1" w:rsidRDefault="0040044C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4.441,07</w:t>
            </w:r>
          </w:p>
        </w:tc>
      </w:tr>
      <w:tr w:rsidR="00BA3BB1">
        <w:tc>
          <w:tcPr>
            <w:tcW w:w="2135" w:type="dxa"/>
            <w:shd w:val="clear" w:color="auto" w:fill="auto"/>
          </w:tcPr>
          <w:p w:rsidR="00BA3BB1" w:rsidRDefault="00BA3BB1">
            <w:pPr>
              <w:pStyle w:val="Default"/>
              <w:rPr>
                <w:i/>
                <w:sz w:val="23"/>
                <w:szCs w:val="23"/>
              </w:rPr>
            </w:pPr>
          </w:p>
        </w:tc>
        <w:tc>
          <w:tcPr>
            <w:tcW w:w="1294" w:type="dxa"/>
            <w:shd w:val="clear" w:color="auto" w:fill="auto"/>
          </w:tcPr>
          <w:p w:rsidR="00BA3BB1" w:rsidRDefault="00BA3BB1">
            <w:pPr>
              <w:pStyle w:val="Default"/>
              <w:rPr>
                <w:i/>
                <w:sz w:val="23"/>
                <w:szCs w:val="23"/>
              </w:rPr>
            </w:pPr>
          </w:p>
        </w:tc>
        <w:tc>
          <w:tcPr>
            <w:tcW w:w="1296" w:type="dxa"/>
            <w:shd w:val="clear" w:color="auto" w:fill="auto"/>
          </w:tcPr>
          <w:p w:rsidR="00BA3BB1" w:rsidRDefault="00BA3BB1">
            <w:pPr>
              <w:pStyle w:val="Default"/>
              <w:rPr>
                <w:i/>
                <w:sz w:val="23"/>
                <w:szCs w:val="23"/>
              </w:rPr>
            </w:pPr>
          </w:p>
        </w:tc>
        <w:tc>
          <w:tcPr>
            <w:tcW w:w="1295" w:type="dxa"/>
            <w:shd w:val="clear" w:color="auto" w:fill="auto"/>
          </w:tcPr>
          <w:p w:rsidR="00BA3BB1" w:rsidRDefault="00BA3BB1">
            <w:pPr>
              <w:pStyle w:val="Default"/>
              <w:rPr>
                <w:i/>
                <w:sz w:val="23"/>
                <w:szCs w:val="23"/>
              </w:rPr>
            </w:pPr>
          </w:p>
        </w:tc>
        <w:tc>
          <w:tcPr>
            <w:tcW w:w="1285" w:type="dxa"/>
            <w:shd w:val="clear" w:color="auto" w:fill="auto"/>
          </w:tcPr>
          <w:p w:rsidR="00BA3BB1" w:rsidRDefault="00BA3BB1">
            <w:pPr>
              <w:pStyle w:val="Default"/>
              <w:rPr>
                <w:i/>
                <w:sz w:val="23"/>
                <w:szCs w:val="23"/>
              </w:rPr>
            </w:pPr>
          </w:p>
        </w:tc>
        <w:tc>
          <w:tcPr>
            <w:tcW w:w="1240" w:type="dxa"/>
            <w:shd w:val="clear" w:color="auto" w:fill="auto"/>
          </w:tcPr>
          <w:p w:rsidR="00BA3BB1" w:rsidRDefault="00BA3BB1">
            <w:pPr>
              <w:pStyle w:val="Default"/>
              <w:rPr>
                <w:i/>
                <w:sz w:val="23"/>
                <w:szCs w:val="23"/>
              </w:rPr>
            </w:pPr>
          </w:p>
        </w:tc>
        <w:tc>
          <w:tcPr>
            <w:tcW w:w="1201" w:type="dxa"/>
            <w:shd w:val="clear" w:color="auto" w:fill="auto"/>
          </w:tcPr>
          <w:p w:rsidR="00BA3BB1" w:rsidRDefault="00BA3BB1">
            <w:pPr>
              <w:pStyle w:val="Default"/>
              <w:rPr>
                <w:i/>
                <w:sz w:val="23"/>
                <w:szCs w:val="23"/>
              </w:rPr>
            </w:pPr>
          </w:p>
        </w:tc>
      </w:tr>
    </w:tbl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*.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Aus dieser tabellarischen Darstellung ist zu sehen, dass die Erträge aus der Vermietung immer geringer werden. Die Zins- und Tilgungsleistungen werden </w:t>
      </w:r>
      <w:proofErr w:type="gramStart"/>
      <w:r>
        <w:rPr>
          <w:sz w:val="23"/>
          <w:szCs w:val="23"/>
        </w:rPr>
        <w:t>zu  100</w:t>
      </w:r>
      <w:proofErr w:type="gramEnd"/>
      <w:r>
        <w:rPr>
          <w:sz w:val="23"/>
          <w:szCs w:val="23"/>
        </w:rPr>
        <w:t xml:space="preserve"> % von der Gemeinde getragen.</w:t>
      </w: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</w:t>
      </w:r>
      <w:r>
        <w:rPr>
          <w:sz w:val="23"/>
          <w:szCs w:val="23"/>
        </w:rPr>
        <w:t>Kredite sind ab 2026 abgezahlt.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2.7. Eigene Einrichtungen</w:t>
      </w:r>
    </w:p>
    <w:p w:rsidR="00BA3BB1" w:rsidRDefault="00BA3BB1">
      <w:pPr>
        <w:pStyle w:val="Default"/>
        <w:rPr>
          <w:b/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Von der Gemeinde wird 1 eigene Einrichtung vorgehalten.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ind w:left="502"/>
        <w:rPr>
          <w:sz w:val="23"/>
          <w:szCs w:val="23"/>
        </w:rPr>
      </w:pPr>
      <w:r>
        <w:rPr>
          <w:sz w:val="23"/>
          <w:szCs w:val="23"/>
        </w:rPr>
        <w:t>Begegnungsstätte</w:t>
      </w:r>
    </w:p>
    <w:p w:rsidR="00BA3BB1" w:rsidRDefault="00BA3BB1">
      <w:pPr>
        <w:pStyle w:val="Default"/>
        <w:rPr>
          <w:sz w:val="23"/>
          <w:szCs w:val="23"/>
        </w:rPr>
      </w:pPr>
    </w:p>
    <w:tbl>
      <w:tblPr>
        <w:tblStyle w:val="Tabellenraster"/>
        <w:tblW w:w="9609" w:type="dxa"/>
        <w:tblLook w:val="04A0" w:firstRow="1" w:lastRow="0" w:firstColumn="1" w:lastColumn="0" w:noHBand="0" w:noVBand="1"/>
      </w:tblPr>
      <w:tblGrid>
        <w:gridCol w:w="2379"/>
        <w:gridCol w:w="1808"/>
        <w:gridCol w:w="1205"/>
        <w:gridCol w:w="1206"/>
        <w:gridCol w:w="1205"/>
        <w:gridCol w:w="1806"/>
      </w:tblGrid>
      <w:tr w:rsidR="00BA3BB1">
        <w:tc>
          <w:tcPr>
            <w:tcW w:w="2378" w:type="dxa"/>
            <w:shd w:val="clear" w:color="auto" w:fill="auto"/>
          </w:tcPr>
          <w:p w:rsidR="00BA3BB1" w:rsidRDefault="00BA3B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20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206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20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806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</w:tr>
      <w:tr w:rsidR="00BA3BB1">
        <w:tc>
          <w:tcPr>
            <w:tcW w:w="237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Einzahlungen</w:t>
            </w:r>
          </w:p>
        </w:tc>
        <w:tc>
          <w:tcPr>
            <w:tcW w:w="180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112,50</w:t>
            </w:r>
          </w:p>
        </w:tc>
        <w:tc>
          <w:tcPr>
            <w:tcW w:w="120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1206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06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BA3BB1">
        <w:tc>
          <w:tcPr>
            <w:tcW w:w="237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Auszahlungen</w:t>
            </w:r>
          </w:p>
        </w:tc>
        <w:tc>
          <w:tcPr>
            <w:tcW w:w="180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5.954,49</w:t>
            </w:r>
          </w:p>
        </w:tc>
        <w:tc>
          <w:tcPr>
            <w:tcW w:w="120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6.200,00</w:t>
            </w:r>
          </w:p>
        </w:tc>
        <w:tc>
          <w:tcPr>
            <w:tcW w:w="1206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6.600,00</w:t>
            </w:r>
          </w:p>
        </w:tc>
        <w:tc>
          <w:tcPr>
            <w:tcW w:w="120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6.200,00</w:t>
            </w:r>
          </w:p>
        </w:tc>
        <w:tc>
          <w:tcPr>
            <w:tcW w:w="1806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6.200,00</w:t>
            </w:r>
          </w:p>
        </w:tc>
      </w:tr>
      <w:tr w:rsidR="00BA3BB1">
        <w:tc>
          <w:tcPr>
            <w:tcW w:w="2378" w:type="dxa"/>
            <w:shd w:val="clear" w:color="auto" w:fill="auto"/>
          </w:tcPr>
          <w:p w:rsidR="00BA3BB1" w:rsidRDefault="00BA3B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8" w:type="dxa"/>
            <w:shd w:val="clear" w:color="auto" w:fill="auto"/>
          </w:tcPr>
          <w:p w:rsidR="00BA3BB1" w:rsidRDefault="00BA3B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5" w:type="dxa"/>
            <w:shd w:val="clear" w:color="auto" w:fill="auto"/>
          </w:tcPr>
          <w:p w:rsidR="00BA3BB1" w:rsidRDefault="00BA3B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6" w:type="dxa"/>
            <w:shd w:val="clear" w:color="auto" w:fill="auto"/>
          </w:tcPr>
          <w:p w:rsidR="00BA3BB1" w:rsidRDefault="00BA3B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5" w:type="dxa"/>
            <w:shd w:val="clear" w:color="auto" w:fill="auto"/>
          </w:tcPr>
          <w:p w:rsidR="00BA3BB1" w:rsidRDefault="00BA3B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6" w:type="dxa"/>
            <w:shd w:val="clear" w:color="auto" w:fill="auto"/>
          </w:tcPr>
          <w:p w:rsidR="00BA3BB1" w:rsidRDefault="00BA3BB1">
            <w:pPr>
              <w:pStyle w:val="Default"/>
              <w:rPr>
                <w:sz w:val="23"/>
                <w:szCs w:val="23"/>
              </w:rPr>
            </w:pPr>
          </w:p>
        </w:tc>
      </w:tr>
      <w:tr w:rsidR="00BA3BB1">
        <w:tc>
          <w:tcPr>
            <w:tcW w:w="237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Zuschuss</w:t>
            </w:r>
          </w:p>
        </w:tc>
        <w:tc>
          <w:tcPr>
            <w:tcW w:w="180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5.841,99</w:t>
            </w:r>
          </w:p>
        </w:tc>
        <w:tc>
          <w:tcPr>
            <w:tcW w:w="120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6.100,00</w:t>
            </w:r>
          </w:p>
        </w:tc>
        <w:tc>
          <w:tcPr>
            <w:tcW w:w="1206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6.600,00</w:t>
            </w:r>
          </w:p>
        </w:tc>
        <w:tc>
          <w:tcPr>
            <w:tcW w:w="1205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6.200,00</w:t>
            </w:r>
          </w:p>
        </w:tc>
        <w:tc>
          <w:tcPr>
            <w:tcW w:w="1806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6.200,00</w:t>
            </w:r>
          </w:p>
        </w:tc>
      </w:tr>
      <w:tr w:rsidR="00BA3BB1">
        <w:tc>
          <w:tcPr>
            <w:tcW w:w="2378" w:type="dxa"/>
            <w:shd w:val="clear" w:color="auto" w:fill="auto"/>
          </w:tcPr>
          <w:p w:rsidR="00BA3BB1" w:rsidRDefault="00BA3B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8" w:type="dxa"/>
            <w:shd w:val="clear" w:color="auto" w:fill="auto"/>
          </w:tcPr>
          <w:p w:rsidR="00BA3BB1" w:rsidRDefault="00BA3B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5" w:type="dxa"/>
            <w:shd w:val="clear" w:color="auto" w:fill="auto"/>
          </w:tcPr>
          <w:p w:rsidR="00BA3BB1" w:rsidRDefault="00BA3B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6" w:type="dxa"/>
            <w:shd w:val="clear" w:color="auto" w:fill="auto"/>
          </w:tcPr>
          <w:p w:rsidR="00BA3BB1" w:rsidRDefault="00BA3B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5" w:type="dxa"/>
            <w:shd w:val="clear" w:color="auto" w:fill="auto"/>
          </w:tcPr>
          <w:p w:rsidR="00BA3BB1" w:rsidRDefault="00BA3B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6" w:type="dxa"/>
            <w:shd w:val="clear" w:color="auto" w:fill="auto"/>
          </w:tcPr>
          <w:p w:rsidR="00BA3BB1" w:rsidRDefault="00BA3BB1">
            <w:pPr>
              <w:pStyle w:val="Default"/>
              <w:rPr>
                <w:sz w:val="23"/>
                <w:szCs w:val="23"/>
              </w:rPr>
            </w:pPr>
          </w:p>
        </w:tc>
      </w:tr>
      <w:tr w:rsidR="00BA3BB1">
        <w:tc>
          <w:tcPr>
            <w:tcW w:w="237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Nutzungen</w:t>
            </w:r>
          </w:p>
        </w:tc>
        <w:tc>
          <w:tcPr>
            <w:tcW w:w="1808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BA3BB1" w:rsidRDefault="00BA3B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6" w:type="dxa"/>
            <w:shd w:val="clear" w:color="auto" w:fill="auto"/>
          </w:tcPr>
          <w:p w:rsidR="00BA3BB1" w:rsidRDefault="00BA3B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5" w:type="dxa"/>
            <w:shd w:val="clear" w:color="auto" w:fill="auto"/>
          </w:tcPr>
          <w:p w:rsidR="00BA3BB1" w:rsidRDefault="00BA3B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6" w:type="dxa"/>
            <w:shd w:val="clear" w:color="auto" w:fill="auto"/>
          </w:tcPr>
          <w:p w:rsidR="00BA3BB1" w:rsidRDefault="00BA3BB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A3BB1" w:rsidRDefault="00BA3BB1">
      <w:pPr>
        <w:pStyle w:val="Default"/>
        <w:rPr>
          <w:sz w:val="23"/>
          <w:szCs w:val="23"/>
        </w:rPr>
      </w:pP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Das Kulturhaus in </w:t>
      </w:r>
      <w:proofErr w:type="spellStart"/>
      <w:r>
        <w:rPr>
          <w:sz w:val="23"/>
          <w:szCs w:val="23"/>
        </w:rPr>
        <w:t>Voigtsdorf</w:t>
      </w:r>
      <w:proofErr w:type="spellEnd"/>
      <w:r>
        <w:rPr>
          <w:sz w:val="23"/>
          <w:szCs w:val="23"/>
        </w:rPr>
        <w:t xml:space="preserve"> wurde zur Bewirtschaftung in die Hände des Vereins gegeben.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Freiwillige Aufgaben</w:t>
      </w:r>
    </w:p>
    <w:p w:rsidR="00BA3BB1" w:rsidRDefault="00BA3BB1">
      <w:pPr>
        <w:pStyle w:val="Default"/>
        <w:rPr>
          <w:sz w:val="23"/>
          <w:szCs w:val="23"/>
        </w:rPr>
      </w:pPr>
    </w:p>
    <w:tbl>
      <w:tblPr>
        <w:tblStyle w:val="Tabellenraster"/>
        <w:tblW w:w="8853" w:type="dxa"/>
        <w:tblLook w:val="04A0" w:firstRow="1" w:lastRow="0" w:firstColumn="1" w:lastColumn="0" w:noHBand="0" w:noVBand="1"/>
      </w:tblPr>
      <w:tblGrid>
        <w:gridCol w:w="1884"/>
        <w:gridCol w:w="2039"/>
        <w:gridCol w:w="1357"/>
        <w:gridCol w:w="1266"/>
        <w:gridCol w:w="1153"/>
        <w:gridCol w:w="1154"/>
      </w:tblGrid>
      <w:tr w:rsidR="00BA3BB1">
        <w:tc>
          <w:tcPr>
            <w:tcW w:w="1883" w:type="dxa"/>
            <w:shd w:val="clear" w:color="auto" w:fill="auto"/>
          </w:tcPr>
          <w:p w:rsidR="00BA3BB1" w:rsidRDefault="00BA3B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9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357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266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153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154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</w:tr>
      <w:tr w:rsidR="00BA3BB1">
        <w:tc>
          <w:tcPr>
            <w:tcW w:w="1883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Zuschuss</w:t>
            </w:r>
          </w:p>
        </w:tc>
        <w:tc>
          <w:tcPr>
            <w:tcW w:w="2039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5.841,99</w:t>
            </w:r>
          </w:p>
        </w:tc>
        <w:tc>
          <w:tcPr>
            <w:tcW w:w="1357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6.100,00</w:t>
            </w:r>
          </w:p>
        </w:tc>
        <w:tc>
          <w:tcPr>
            <w:tcW w:w="1266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6.600,00</w:t>
            </w:r>
          </w:p>
        </w:tc>
        <w:tc>
          <w:tcPr>
            <w:tcW w:w="1153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6.200,00</w:t>
            </w:r>
          </w:p>
        </w:tc>
        <w:tc>
          <w:tcPr>
            <w:tcW w:w="1154" w:type="dxa"/>
            <w:shd w:val="clear" w:color="auto" w:fill="auto"/>
          </w:tcPr>
          <w:p w:rsidR="00BA3BB1" w:rsidRDefault="0040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6.200,00</w:t>
            </w:r>
          </w:p>
        </w:tc>
      </w:tr>
    </w:tbl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Zuschüsse zu den freiwilligen Ausgaben schwanken von Jahr zu Jahr und können </w:t>
      </w:r>
    </w:p>
    <w:p w:rsidR="00BA3BB1" w:rsidRDefault="0040044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nicht</w:t>
      </w:r>
      <w:proofErr w:type="gramEnd"/>
      <w:r>
        <w:rPr>
          <w:sz w:val="23"/>
          <w:szCs w:val="23"/>
        </w:rPr>
        <w:t xml:space="preserve"> anders eingeschätzt werden. Veränderungen an den Gebührensatzungen in den Nachbargemeinden haben gezeigt, dass dann die Vermietung nicht </w:t>
      </w:r>
      <w:r>
        <w:rPr>
          <w:sz w:val="23"/>
          <w:szCs w:val="23"/>
        </w:rPr>
        <w:t>mehr angenommen wird. Eine Vermietung war aus Pandemiegründen derzeitig nicht möglich.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2.8.Abschreibungen/Sonderposten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Lt. Anlagenbuchhaltung hat die Gemeinde für ihr aufgenommenes und bewertetes Vermögen Abschreibungen in Höhe von 27,1 T€ und </w:t>
      </w:r>
      <w:proofErr w:type="spellStart"/>
      <w:r>
        <w:rPr>
          <w:sz w:val="23"/>
          <w:szCs w:val="23"/>
        </w:rPr>
        <w:t>SoPo’s</w:t>
      </w:r>
      <w:proofErr w:type="spellEnd"/>
      <w:r>
        <w:rPr>
          <w:sz w:val="23"/>
          <w:szCs w:val="23"/>
        </w:rPr>
        <w:t xml:space="preserve"> in</w:t>
      </w:r>
      <w:r>
        <w:rPr>
          <w:sz w:val="23"/>
          <w:szCs w:val="23"/>
        </w:rPr>
        <w:t xml:space="preserve"> Höhe von 14,5 T€</w:t>
      </w:r>
    </w:p>
    <w:p w:rsidR="00BA3BB1" w:rsidRDefault="0040044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zu</w:t>
      </w:r>
      <w:proofErr w:type="gramEnd"/>
      <w:r>
        <w:rPr>
          <w:sz w:val="23"/>
          <w:szCs w:val="23"/>
        </w:rPr>
        <w:t xml:space="preserve"> verbuchen.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Das Eigenkapital wird von 94,6 T€ zum 31.12.2021 auf Stand 31.12.2022 auf 167,6 T€</w:t>
      </w:r>
    </w:p>
    <w:p w:rsidR="00BA3BB1" w:rsidRDefault="0040044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erhöht</w:t>
      </w:r>
      <w:proofErr w:type="gramEnd"/>
      <w:r>
        <w:rPr>
          <w:sz w:val="23"/>
          <w:szCs w:val="23"/>
        </w:rPr>
        <w:t xml:space="preserve">. 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3. Zusammenfassung</w:t>
      </w:r>
    </w:p>
    <w:p w:rsidR="00BA3BB1" w:rsidRDefault="00BA3BB1">
      <w:pPr>
        <w:pStyle w:val="Default"/>
        <w:rPr>
          <w:b/>
          <w:sz w:val="23"/>
          <w:szCs w:val="23"/>
        </w:rPr>
      </w:pP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</w:pPr>
      <w:r>
        <w:rPr>
          <w:sz w:val="23"/>
          <w:szCs w:val="23"/>
        </w:rPr>
        <w:t>Von den 24 WE sind derzeitig 10</w:t>
      </w:r>
      <w:r>
        <w:rPr>
          <w:sz w:val="23"/>
          <w:szCs w:val="23"/>
        </w:rPr>
        <w:t xml:space="preserve"> Wohnungen vermietet. Es fehlen hier die Mieterträge aus der Vermietung. Der Verkauf ist vorgesehen.</w:t>
      </w: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Die aufgenommen Kredite zur Modernisierung laufen noch bis 2025 weiter.</w:t>
      </w:r>
    </w:p>
    <w:p w:rsidR="00BA3BB1" w:rsidRDefault="0040044C">
      <w:pPr>
        <w:pStyle w:val="Default"/>
      </w:pPr>
      <w:r>
        <w:rPr>
          <w:sz w:val="23"/>
          <w:szCs w:val="23"/>
        </w:rPr>
        <w:t>Aus eigener Kraft ist es der Gemeinde nicht möglich den negativen Ergebnisvortrag a</w:t>
      </w:r>
      <w:r>
        <w:rPr>
          <w:sz w:val="23"/>
          <w:szCs w:val="23"/>
        </w:rPr>
        <w:t>us den Vorjahren abzubauen.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numPr>
          <w:ilvl w:val="1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Feststellung des Konsolidierungsbedarfes</w:t>
      </w:r>
    </w:p>
    <w:p w:rsidR="00BA3BB1" w:rsidRDefault="00BA3BB1">
      <w:pPr>
        <w:pStyle w:val="Default"/>
        <w:rPr>
          <w:b/>
          <w:sz w:val="22"/>
          <w:szCs w:val="22"/>
        </w:rPr>
      </w:pPr>
    </w:p>
    <w:p w:rsidR="00BA3BB1" w:rsidRDefault="0040044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Ergebnishaushalt:</w:t>
      </w:r>
    </w:p>
    <w:tbl>
      <w:tblPr>
        <w:tblW w:w="10294" w:type="dxa"/>
        <w:tblInd w:w="15" w:type="dxa"/>
        <w:tblCellMar>
          <w:left w:w="6" w:type="dxa"/>
          <w:right w:w="57" w:type="dxa"/>
        </w:tblCellMar>
        <w:tblLook w:val="0000" w:firstRow="0" w:lastRow="0" w:firstColumn="0" w:lastColumn="0" w:noHBand="0" w:noVBand="0"/>
      </w:tblPr>
      <w:tblGrid>
        <w:gridCol w:w="382"/>
        <w:gridCol w:w="3148"/>
        <w:gridCol w:w="1126"/>
        <w:gridCol w:w="1129"/>
        <w:gridCol w:w="1127"/>
        <w:gridCol w:w="1127"/>
        <w:gridCol w:w="1125"/>
        <w:gridCol w:w="1130"/>
      </w:tblGrid>
      <w:tr w:rsidR="00BA3BB1">
        <w:trPr>
          <w:cantSplit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ind w:left="61" w:hanging="4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2027</w:t>
            </w:r>
          </w:p>
        </w:tc>
      </w:tr>
      <w:tr w:rsidR="00BA3BB1">
        <w:trPr>
          <w:cantSplit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ind w:left="61" w:hanging="4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Jahresergebnis (Jahresüberschuss/ Jahresfehlbetrag, Nummer 20 zuzüglich Nummern 22 und 24 abzüglich Nummern 21 und 23)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66.356,27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-56.000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-72.500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-50.000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-49.100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-57.600</w:t>
            </w:r>
          </w:p>
        </w:tc>
      </w:tr>
      <w:tr w:rsidR="00BA3BB1">
        <w:trPr>
          <w:cantSplit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ind w:left="61" w:hanging="4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nachrichtlich: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BA3BB1">
        <w:trPr>
          <w:cantSplit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ind w:left="61" w:hanging="4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Ergebnisvortrag aus dem Haushaltsvorjahr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-74.510,09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-8.154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-64.154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-136.654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-186.654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-235.754</w:t>
            </w:r>
          </w:p>
        </w:tc>
      </w:tr>
      <w:tr w:rsidR="00BA3BB1">
        <w:trPr>
          <w:cantSplit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ind w:left="61" w:hanging="4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Ergebnis (Überschuss/Fehlbetrag) zum 31. Dezember des Haushaltsjahres (Summe der Nummern 25 und 26)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-8.153,82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-64.154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-136.654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-186.654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-235.754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-293.354</w:t>
            </w:r>
          </w:p>
        </w:tc>
      </w:tr>
    </w:tbl>
    <w:p w:rsidR="00BA3BB1" w:rsidRDefault="00BA3BB1">
      <w:pPr>
        <w:pStyle w:val="Default"/>
        <w:rPr>
          <w:b/>
          <w:sz w:val="22"/>
          <w:szCs w:val="22"/>
        </w:rPr>
      </w:pPr>
    </w:p>
    <w:p w:rsidR="00BA3BB1" w:rsidRDefault="00BA3BB1">
      <w:pPr>
        <w:pStyle w:val="Default"/>
        <w:rPr>
          <w:b/>
          <w:sz w:val="22"/>
          <w:szCs w:val="22"/>
        </w:rPr>
      </w:pPr>
    </w:p>
    <w:p w:rsidR="00BA3BB1" w:rsidRDefault="00BA3BB1">
      <w:pPr>
        <w:pStyle w:val="Default"/>
        <w:rPr>
          <w:b/>
          <w:sz w:val="22"/>
          <w:szCs w:val="22"/>
        </w:rPr>
      </w:pPr>
    </w:p>
    <w:p w:rsidR="00BA3BB1" w:rsidRDefault="00BA3BB1">
      <w:pPr>
        <w:pStyle w:val="Default"/>
        <w:rPr>
          <w:b/>
          <w:sz w:val="22"/>
          <w:szCs w:val="22"/>
        </w:rPr>
      </w:pPr>
    </w:p>
    <w:p w:rsidR="00BA3BB1" w:rsidRDefault="0040044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Finanzhaushalt:</w:t>
      </w:r>
    </w:p>
    <w:tbl>
      <w:tblPr>
        <w:tblW w:w="10328" w:type="dxa"/>
        <w:tblInd w:w="4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"/>
        <w:gridCol w:w="343"/>
        <w:gridCol w:w="11"/>
        <w:gridCol w:w="2902"/>
        <w:gridCol w:w="11"/>
        <w:gridCol w:w="1032"/>
        <w:gridCol w:w="12"/>
        <w:gridCol w:w="1032"/>
        <w:gridCol w:w="11"/>
        <w:gridCol w:w="1034"/>
        <w:gridCol w:w="10"/>
        <w:gridCol w:w="1033"/>
        <w:gridCol w:w="10"/>
        <w:gridCol w:w="1034"/>
        <w:gridCol w:w="11"/>
        <w:gridCol w:w="1038"/>
        <w:gridCol w:w="11"/>
        <w:gridCol w:w="468"/>
        <w:gridCol w:w="162"/>
      </w:tblGrid>
      <w:tr w:rsidR="00BA3BB1">
        <w:trPr>
          <w:cantSplit/>
        </w:trPr>
        <w:tc>
          <w:tcPr>
            <w:tcW w:w="162" w:type="dxa"/>
            <w:shd w:val="clear" w:color="auto" w:fill="auto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" w:type="dxa"/>
              <w:right w:w="57" w:type="dxa"/>
            </w:tcMar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60"/>
              <w:ind w:left="56" w:firstLine="1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 w:rsidP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2022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 w:rsidP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2023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 w:rsidP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2024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 w:rsidP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2025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 w:rsidP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2026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 w:rsidP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2027</w:t>
            </w:r>
            <w:bookmarkStart w:id="7" w:name="_GoBack"/>
            <w:bookmarkEnd w:id="7"/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BA3BB1">
        <w:trPr>
          <w:cantSplit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" w:type="dxa"/>
              <w:right w:w="57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37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60"/>
              <w:ind w:left="56" w:firstLine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Jahresbezogener Saldo der laufenden Ein- und Auszahlungen (Saldo der Nummern 18 und 32)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64.970,72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-52.300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-65.200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-38.500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-37.300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-46.000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62" w:type="dxa"/>
            <w:shd w:val="clear" w:color="auto" w:fill="auto"/>
          </w:tcPr>
          <w:p w:rsidR="00BA3BB1" w:rsidRDefault="00BA3BB1"/>
        </w:tc>
      </w:tr>
      <w:tr w:rsidR="00BA3BB1">
        <w:trPr>
          <w:cantSplit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" w:type="dxa"/>
              <w:right w:w="57" w:type="dxa"/>
            </w:tcMar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60"/>
              <w:ind w:left="56" w:firstLine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nachrichtlich: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62" w:type="dxa"/>
            <w:shd w:val="clear" w:color="auto" w:fill="auto"/>
          </w:tcPr>
          <w:p w:rsidR="00BA3BB1" w:rsidRDefault="00BA3BB1"/>
        </w:tc>
      </w:tr>
      <w:tr w:rsidR="00BA3BB1">
        <w:trPr>
          <w:cantSplit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" w:type="dxa"/>
              <w:right w:w="57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38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60"/>
              <w:ind w:left="56" w:firstLine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Saldo der laufenden Ein- und Auszahlungen zum 31. Dezember des Haushaltsvorjahres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-288.132,07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-223.161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-275.461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-340.661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-379.161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-416.461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62" w:type="dxa"/>
            <w:shd w:val="clear" w:color="auto" w:fill="auto"/>
          </w:tcPr>
          <w:p w:rsidR="00BA3BB1" w:rsidRDefault="00BA3BB1"/>
        </w:tc>
      </w:tr>
      <w:tr w:rsidR="00BA3BB1">
        <w:trPr>
          <w:cantSplit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" w:type="dxa"/>
              <w:right w:w="57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39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60"/>
              <w:ind w:left="56" w:firstLine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Saldo der laufenden Ein- und Auszahlungen zum 31. Dezember des Haushaltsjahres (Summe der Nummern 37 und 38)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-223.161,35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-275.461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-340.661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-379.161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-416.461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-462.461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62" w:type="dxa"/>
            <w:shd w:val="clear" w:color="auto" w:fill="auto"/>
          </w:tcPr>
          <w:p w:rsidR="00BA3BB1" w:rsidRDefault="00BA3BB1"/>
        </w:tc>
      </w:tr>
    </w:tbl>
    <w:p w:rsidR="00BA3BB1" w:rsidRDefault="00BA3BB1">
      <w:pPr>
        <w:pStyle w:val="Default"/>
        <w:rPr>
          <w:b/>
          <w:sz w:val="22"/>
          <w:szCs w:val="22"/>
        </w:rPr>
      </w:pPr>
    </w:p>
    <w:p w:rsidR="00BA3BB1" w:rsidRDefault="00BA3BB1">
      <w:pPr>
        <w:pStyle w:val="Default"/>
        <w:rPr>
          <w:b/>
          <w:sz w:val="22"/>
          <w:szCs w:val="22"/>
        </w:rPr>
      </w:pP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 den negativen </w:t>
      </w:r>
      <w:r>
        <w:rPr>
          <w:rFonts w:ascii="Arial" w:hAnsi="Arial" w:cs="Arial"/>
        </w:rPr>
        <w:t>Ergebnisvorträgen und den negativen Salden ist zu sehen, dass die Gemeinde den Ausgleich nicht allein schafft.</w:t>
      </w:r>
    </w:p>
    <w:p w:rsidR="00BA3BB1" w:rsidRDefault="00400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Bemühungen sind zu sehen, aber reichen </w:t>
      </w:r>
      <w:proofErr w:type="gramStart"/>
      <w:r>
        <w:rPr>
          <w:rFonts w:ascii="Arial" w:hAnsi="Arial" w:cs="Arial"/>
        </w:rPr>
        <w:t>nicht  aus</w:t>
      </w:r>
      <w:proofErr w:type="gramEnd"/>
      <w:r>
        <w:rPr>
          <w:rFonts w:ascii="Arial" w:hAnsi="Arial" w:cs="Arial"/>
        </w:rPr>
        <w:t>.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4.Maßnahmen</w:t>
      </w:r>
    </w:p>
    <w:p w:rsidR="00BA3BB1" w:rsidRDefault="00BA3BB1">
      <w:pPr>
        <w:pStyle w:val="Default"/>
        <w:rPr>
          <w:b/>
          <w:sz w:val="23"/>
          <w:szCs w:val="23"/>
        </w:rPr>
      </w:pPr>
    </w:p>
    <w:p w:rsidR="00BA3BB1" w:rsidRDefault="0040044C">
      <w:pPr>
        <w:pStyle w:val="Textkrper-Zeileneinzug"/>
        <w:spacing w:line="276" w:lineRule="auto"/>
      </w:pPr>
      <w:r>
        <w:t>Die Errichtung einer PVA wurde widerrufen</w:t>
      </w:r>
    </w:p>
    <w:p w:rsidR="00BA3BB1" w:rsidRDefault="00BA3BB1">
      <w:pPr>
        <w:widowControl w:val="0"/>
        <w:spacing w:after="0" w:line="240" w:lineRule="auto"/>
      </w:pPr>
    </w:p>
    <w:p w:rsidR="00BA3BB1" w:rsidRDefault="00BA3BB1">
      <w:pPr>
        <w:widowControl w:val="0"/>
        <w:spacing w:after="0" w:line="240" w:lineRule="auto"/>
      </w:pPr>
    </w:p>
    <w:p w:rsidR="00BA3BB1" w:rsidRDefault="00BA3BB1">
      <w:pPr>
        <w:pStyle w:val="Default"/>
        <w:rPr>
          <w:b/>
          <w:sz w:val="23"/>
          <w:szCs w:val="23"/>
        </w:rPr>
      </w:pPr>
    </w:p>
    <w:p w:rsidR="00BA3BB1" w:rsidRDefault="00BA3BB1">
      <w:pPr>
        <w:pStyle w:val="Default"/>
        <w:rPr>
          <w:b/>
          <w:sz w:val="23"/>
          <w:szCs w:val="23"/>
        </w:rPr>
      </w:pPr>
    </w:p>
    <w:p w:rsidR="00BA3BB1" w:rsidRDefault="00BA3BB1">
      <w:pPr>
        <w:pStyle w:val="Default"/>
        <w:rPr>
          <w:b/>
          <w:color w:val="8496B0" w:themeColor="text2" w:themeTint="99"/>
        </w:rPr>
      </w:pPr>
    </w:p>
    <w:tbl>
      <w:tblPr>
        <w:tblStyle w:val="Tabellenraster"/>
        <w:tblW w:w="8698" w:type="dxa"/>
        <w:tblLook w:val="04A0" w:firstRow="1" w:lastRow="0" w:firstColumn="1" w:lastColumn="0" w:noHBand="0" w:noVBand="1"/>
      </w:tblPr>
      <w:tblGrid>
        <w:gridCol w:w="870"/>
        <w:gridCol w:w="871"/>
        <w:gridCol w:w="531"/>
        <w:gridCol w:w="340"/>
        <w:gridCol w:w="869"/>
        <w:gridCol w:w="494"/>
        <w:gridCol w:w="375"/>
        <w:gridCol w:w="869"/>
        <w:gridCol w:w="408"/>
        <w:gridCol w:w="460"/>
        <w:gridCol w:w="872"/>
        <w:gridCol w:w="871"/>
        <w:gridCol w:w="868"/>
      </w:tblGrid>
      <w:tr w:rsidR="00BA3BB1">
        <w:trPr>
          <w:trHeight w:val="397"/>
        </w:trPr>
        <w:tc>
          <w:tcPr>
            <w:tcW w:w="2271" w:type="dxa"/>
            <w:gridSpan w:val="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Maßnahme Nr. </w:t>
            </w:r>
          </w:p>
        </w:tc>
        <w:tc>
          <w:tcPr>
            <w:tcW w:w="3355" w:type="dxa"/>
            <w:gridSpan w:val="6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Produktverantwo</w:t>
            </w:r>
            <w:r>
              <w:rPr>
                <w:rFonts w:ascii="Arial" w:eastAsia="Calibri" w:hAnsi="Arial" w:cs="Arial"/>
                <w:b/>
              </w:rPr>
              <w:t>rtlich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Produkt / Leistung</w:t>
            </w:r>
          </w:p>
        </w:tc>
      </w:tr>
      <w:tr w:rsidR="00BA3BB1">
        <w:trPr>
          <w:trHeight w:val="397"/>
        </w:trPr>
        <w:tc>
          <w:tcPr>
            <w:tcW w:w="2271" w:type="dxa"/>
            <w:gridSpan w:val="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355" w:type="dxa"/>
            <w:gridSpan w:val="6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Bau/Ordnungsamt – Herr Klappstein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11402.</w:t>
            </w:r>
          </w:p>
        </w:tc>
      </w:tr>
      <w:tr w:rsidR="00BA3BB1">
        <w:trPr>
          <w:trHeight w:val="397"/>
        </w:trPr>
        <w:tc>
          <w:tcPr>
            <w:tcW w:w="8697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Beschreibung des Konsolidierungsvorschlages</w:t>
            </w:r>
          </w:p>
        </w:tc>
      </w:tr>
      <w:tr w:rsidR="00BA3BB1">
        <w:trPr>
          <w:trHeight w:val="397"/>
        </w:trPr>
        <w:tc>
          <w:tcPr>
            <w:tcW w:w="3974" w:type="dxa"/>
            <w:gridSpan w:val="6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Art</w:t>
            </w:r>
          </w:p>
        </w:tc>
        <w:tc>
          <w:tcPr>
            <w:tcW w:w="4723" w:type="dxa"/>
            <w:gridSpan w:val="7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Titel</w:t>
            </w:r>
          </w:p>
        </w:tc>
      </w:tr>
      <w:tr w:rsidR="00BA3BB1">
        <w:trPr>
          <w:trHeight w:val="397"/>
        </w:trPr>
        <w:tc>
          <w:tcPr>
            <w:tcW w:w="3974" w:type="dxa"/>
            <w:gridSpan w:val="6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Aufwandsreduzierung</w:t>
            </w:r>
          </w:p>
        </w:tc>
        <w:tc>
          <w:tcPr>
            <w:tcW w:w="4723" w:type="dxa"/>
            <w:gridSpan w:val="7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Verkauf 24 WE Block, Konsum und alter Friedhof</w:t>
            </w:r>
          </w:p>
        </w:tc>
      </w:tr>
      <w:tr w:rsidR="00BA3BB1">
        <w:trPr>
          <w:trHeight w:val="397"/>
        </w:trPr>
        <w:tc>
          <w:tcPr>
            <w:tcW w:w="8697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Inhalt und Begründung</w:t>
            </w:r>
          </w:p>
        </w:tc>
      </w:tr>
      <w:tr w:rsidR="00BA3BB1">
        <w:trPr>
          <w:trHeight w:val="397"/>
        </w:trPr>
        <w:tc>
          <w:tcPr>
            <w:tcW w:w="8697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Für den 24 WE Block und dem Konsum </w:t>
            </w:r>
            <w:r>
              <w:rPr>
                <w:rFonts w:ascii="Arial" w:eastAsia="Calibri" w:hAnsi="Arial" w:cs="Arial"/>
              </w:rPr>
              <w:t>wurden Gutachten erstellt, beide Objekte wurden im Landboten angeboten. Der alte Friedhof soll über ein Auktionshaus versteigert werden.</w:t>
            </w:r>
          </w:p>
        </w:tc>
      </w:tr>
      <w:tr w:rsidR="00BA3BB1">
        <w:trPr>
          <w:trHeight w:val="397"/>
        </w:trPr>
        <w:tc>
          <w:tcPr>
            <w:tcW w:w="8697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Finanzielle Auswirkungen</w:t>
            </w:r>
          </w:p>
        </w:tc>
      </w:tr>
      <w:tr w:rsidR="00BA3BB1">
        <w:trPr>
          <w:trHeight w:val="605"/>
        </w:trPr>
        <w:tc>
          <w:tcPr>
            <w:tcW w:w="4349" w:type="dxa"/>
            <w:gridSpan w:val="7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Umfang der Ergebnisverbesserung im Ergebnishaushalt in T€ für das Jahr</w:t>
            </w:r>
          </w:p>
        </w:tc>
        <w:tc>
          <w:tcPr>
            <w:tcW w:w="4348" w:type="dxa"/>
            <w:gridSpan w:val="6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Umfang der Verbesseru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ng im Finanzhaushalt T€ für das Jahr</w:t>
            </w:r>
          </w:p>
        </w:tc>
      </w:tr>
      <w:tr w:rsidR="00BA3BB1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2027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2027</w:t>
            </w:r>
          </w:p>
        </w:tc>
      </w:tr>
      <w:tr w:rsidR="00BA3BB1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48,0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48,0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48,0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48,0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48,0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48,0</w:t>
            </w:r>
          </w:p>
        </w:tc>
      </w:tr>
      <w:tr w:rsidR="00BA3BB1">
        <w:trPr>
          <w:trHeight w:val="397"/>
        </w:trPr>
        <w:tc>
          <w:tcPr>
            <w:tcW w:w="8697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Umsetzungsstand</w:t>
            </w:r>
          </w:p>
        </w:tc>
      </w:tr>
      <w:tr w:rsidR="00BA3BB1">
        <w:trPr>
          <w:trHeight w:val="397"/>
        </w:trPr>
        <w:tc>
          <w:tcPr>
            <w:tcW w:w="8697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t xml:space="preserve">Der Konsum und der alte Friedhof wurden im Haushaltsjahr 2023 verkauft. Der Beschluss zum Verkauf des 24 </w:t>
            </w:r>
            <w:r>
              <w:rPr>
                <w:rFonts w:ascii="Arial" w:eastAsia="Calibri" w:hAnsi="Arial" w:cs="Arial"/>
              </w:rPr>
              <w:t>WE Blockes wurde gefasst und wird in diesem Jahr noch realisiert</w:t>
            </w:r>
          </w:p>
        </w:tc>
      </w:tr>
      <w:tr w:rsidR="00BA3BB1">
        <w:trPr>
          <w:trHeight w:val="397"/>
        </w:trPr>
        <w:tc>
          <w:tcPr>
            <w:tcW w:w="8697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Hinweise</w:t>
            </w:r>
          </w:p>
        </w:tc>
      </w:tr>
      <w:tr w:rsidR="00BA3BB1">
        <w:trPr>
          <w:trHeight w:val="397"/>
        </w:trPr>
        <w:tc>
          <w:tcPr>
            <w:tcW w:w="8697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BA3BB1" w:rsidRDefault="00BA3BB1">
      <w:pPr>
        <w:pStyle w:val="Default"/>
        <w:rPr>
          <w:b/>
          <w:sz w:val="23"/>
          <w:szCs w:val="23"/>
        </w:rPr>
      </w:pPr>
    </w:p>
    <w:tbl>
      <w:tblPr>
        <w:tblStyle w:val="Tabellenraster"/>
        <w:tblW w:w="8698" w:type="dxa"/>
        <w:tblLook w:val="04A0" w:firstRow="1" w:lastRow="0" w:firstColumn="1" w:lastColumn="0" w:noHBand="0" w:noVBand="1"/>
      </w:tblPr>
      <w:tblGrid>
        <w:gridCol w:w="870"/>
        <w:gridCol w:w="871"/>
        <w:gridCol w:w="531"/>
        <w:gridCol w:w="340"/>
        <w:gridCol w:w="869"/>
        <w:gridCol w:w="494"/>
        <w:gridCol w:w="375"/>
        <w:gridCol w:w="869"/>
        <w:gridCol w:w="408"/>
        <w:gridCol w:w="460"/>
        <w:gridCol w:w="872"/>
        <w:gridCol w:w="871"/>
        <w:gridCol w:w="868"/>
      </w:tblGrid>
      <w:tr w:rsidR="00BA3BB1">
        <w:trPr>
          <w:trHeight w:val="397"/>
        </w:trPr>
        <w:tc>
          <w:tcPr>
            <w:tcW w:w="2271" w:type="dxa"/>
            <w:gridSpan w:val="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Maßnahme Nr. </w:t>
            </w:r>
          </w:p>
        </w:tc>
        <w:tc>
          <w:tcPr>
            <w:tcW w:w="3355" w:type="dxa"/>
            <w:gridSpan w:val="6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Produktverantwortlich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Produkt / Leistung</w:t>
            </w:r>
          </w:p>
        </w:tc>
      </w:tr>
      <w:tr w:rsidR="00BA3BB1">
        <w:trPr>
          <w:trHeight w:val="397"/>
        </w:trPr>
        <w:tc>
          <w:tcPr>
            <w:tcW w:w="2271" w:type="dxa"/>
            <w:gridSpan w:val="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3355" w:type="dxa"/>
            <w:gridSpan w:val="6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Finanzen – Frau Riesner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61101.4011,4013</w:t>
            </w:r>
          </w:p>
        </w:tc>
      </w:tr>
      <w:tr w:rsidR="00BA3BB1">
        <w:trPr>
          <w:trHeight w:val="397"/>
        </w:trPr>
        <w:tc>
          <w:tcPr>
            <w:tcW w:w="8697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Beschreibung des Konsolidierungsvorschlages</w:t>
            </w:r>
          </w:p>
        </w:tc>
      </w:tr>
      <w:tr w:rsidR="00BA3BB1">
        <w:trPr>
          <w:trHeight w:val="397"/>
        </w:trPr>
        <w:tc>
          <w:tcPr>
            <w:tcW w:w="3974" w:type="dxa"/>
            <w:gridSpan w:val="6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Art</w:t>
            </w:r>
          </w:p>
        </w:tc>
        <w:tc>
          <w:tcPr>
            <w:tcW w:w="4723" w:type="dxa"/>
            <w:gridSpan w:val="7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Titel</w:t>
            </w:r>
          </w:p>
        </w:tc>
      </w:tr>
      <w:tr w:rsidR="00BA3BB1">
        <w:trPr>
          <w:trHeight w:val="397"/>
        </w:trPr>
        <w:tc>
          <w:tcPr>
            <w:tcW w:w="3974" w:type="dxa"/>
            <w:gridSpan w:val="6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Ertragssteigerung</w:t>
            </w:r>
          </w:p>
        </w:tc>
        <w:tc>
          <w:tcPr>
            <w:tcW w:w="4723" w:type="dxa"/>
            <w:gridSpan w:val="7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Erhöhung des Hebesatzes für die Grundsteuer A auf 355 % und für die Gewerbesteuer auf 395 %</w:t>
            </w:r>
          </w:p>
        </w:tc>
      </w:tr>
      <w:tr w:rsidR="00BA3BB1">
        <w:trPr>
          <w:trHeight w:val="397"/>
        </w:trPr>
        <w:tc>
          <w:tcPr>
            <w:tcW w:w="8697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Inhalt und Begründung</w:t>
            </w:r>
          </w:p>
        </w:tc>
      </w:tr>
      <w:tr w:rsidR="00BA3BB1">
        <w:trPr>
          <w:trHeight w:val="397"/>
        </w:trPr>
        <w:tc>
          <w:tcPr>
            <w:tcW w:w="8697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</w:rPr>
              <w:t>Die Hebesätze für die Grundsteuer A und die Gewerbesteuer werden verändert.</w:t>
            </w:r>
          </w:p>
        </w:tc>
      </w:tr>
      <w:tr w:rsidR="00BA3BB1">
        <w:trPr>
          <w:trHeight w:val="397"/>
        </w:trPr>
        <w:tc>
          <w:tcPr>
            <w:tcW w:w="8697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Finanzielle Auswirkungen</w:t>
            </w:r>
          </w:p>
        </w:tc>
      </w:tr>
      <w:tr w:rsidR="00BA3BB1">
        <w:trPr>
          <w:trHeight w:val="605"/>
        </w:trPr>
        <w:tc>
          <w:tcPr>
            <w:tcW w:w="4349" w:type="dxa"/>
            <w:gridSpan w:val="7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Umfang der Ergebnisverbesserung im Er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gebnishaushalt in T€ für das Jahr</w:t>
            </w:r>
          </w:p>
        </w:tc>
        <w:tc>
          <w:tcPr>
            <w:tcW w:w="4348" w:type="dxa"/>
            <w:gridSpan w:val="6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Umfang der Verbesserung im Finanzhaushalt T€ für das Jahr</w:t>
            </w:r>
          </w:p>
        </w:tc>
      </w:tr>
      <w:tr w:rsidR="00BA3BB1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2027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2027</w:t>
            </w:r>
          </w:p>
        </w:tc>
      </w:tr>
      <w:tr w:rsidR="00BA3BB1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0,6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0,6</w:t>
            </w:r>
          </w:p>
        </w:tc>
      </w:tr>
      <w:tr w:rsidR="00BA3BB1">
        <w:trPr>
          <w:trHeight w:val="397"/>
        </w:trPr>
        <w:tc>
          <w:tcPr>
            <w:tcW w:w="8697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Umsetzungsstand</w:t>
            </w:r>
          </w:p>
        </w:tc>
      </w:tr>
      <w:tr w:rsidR="00BA3BB1">
        <w:trPr>
          <w:trHeight w:val="397"/>
        </w:trPr>
        <w:tc>
          <w:tcPr>
            <w:tcW w:w="8697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Die Hebesätze werden durch die Hebesatzsatzung vor dem </w:t>
            </w:r>
            <w:r>
              <w:rPr>
                <w:rFonts w:ascii="Arial" w:eastAsia="Calibri" w:hAnsi="Arial" w:cs="Arial"/>
                <w:sz w:val="20"/>
                <w:szCs w:val="20"/>
              </w:rPr>
              <w:t>30.06.2024 festgesetzt und greifen dann noch im Haushaltsjahr 2024</w:t>
            </w:r>
          </w:p>
        </w:tc>
      </w:tr>
      <w:tr w:rsidR="00BA3BB1">
        <w:trPr>
          <w:trHeight w:val="397"/>
        </w:trPr>
        <w:tc>
          <w:tcPr>
            <w:tcW w:w="8697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Hinweise</w:t>
            </w:r>
          </w:p>
        </w:tc>
      </w:tr>
      <w:tr w:rsidR="00BA3BB1">
        <w:trPr>
          <w:trHeight w:val="397"/>
        </w:trPr>
        <w:tc>
          <w:tcPr>
            <w:tcW w:w="8697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BA3BB1" w:rsidRDefault="00BA3BB1">
      <w:pPr>
        <w:pStyle w:val="Default"/>
        <w:rPr>
          <w:b/>
          <w:sz w:val="23"/>
          <w:szCs w:val="23"/>
        </w:rPr>
      </w:pPr>
    </w:p>
    <w:p w:rsidR="00BA3BB1" w:rsidRDefault="00BA3BB1">
      <w:pPr>
        <w:widowControl w:val="0"/>
        <w:tabs>
          <w:tab w:val="left" w:pos="708"/>
        </w:tabs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8698" w:type="dxa"/>
        <w:tblLook w:val="04A0" w:firstRow="1" w:lastRow="0" w:firstColumn="1" w:lastColumn="0" w:noHBand="0" w:noVBand="1"/>
      </w:tblPr>
      <w:tblGrid>
        <w:gridCol w:w="869"/>
        <w:gridCol w:w="871"/>
        <w:gridCol w:w="531"/>
        <w:gridCol w:w="340"/>
        <w:gridCol w:w="869"/>
        <w:gridCol w:w="494"/>
        <w:gridCol w:w="375"/>
        <w:gridCol w:w="869"/>
        <w:gridCol w:w="408"/>
        <w:gridCol w:w="460"/>
        <w:gridCol w:w="872"/>
        <w:gridCol w:w="871"/>
        <w:gridCol w:w="869"/>
      </w:tblGrid>
      <w:tr w:rsidR="00BA3BB1">
        <w:trPr>
          <w:trHeight w:val="397"/>
        </w:trPr>
        <w:tc>
          <w:tcPr>
            <w:tcW w:w="2271" w:type="dxa"/>
            <w:gridSpan w:val="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</w:rPr>
              <w:t xml:space="preserve">Maßnahme Nr. </w:t>
            </w:r>
          </w:p>
        </w:tc>
        <w:tc>
          <w:tcPr>
            <w:tcW w:w="3355" w:type="dxa"/>
            <w:gridSpan w:val="6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</w:rPr>
              <w:t>Produktverantwortlich</w:t>
            </w:r>
          </w:p>
        </w:tc>
        <w:tc>
          <w:tcPr>
            <w:tcW w:w="3072" w:type="dxa"/>
            <w:gridSpan w:val="4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</w:rPr>
              <w:t>Produkt / Leistung</w:t>
            </w:r>
          </w:p>
        </w:tc>
      </w:tr>
      <w:tr w:rsidR="00BA3BB1">
        <w:trPr>
          <w:trHeight w:val="397"/>
        </w:trPr>
        <w:tc>
          <w:tcPr>
            <w:tcW w:w="2271" w:type="dxa"/>
            <w:gridSpan w:val="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3355" w:type="dxa"/>
            <w:gridSpan w:val="6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</w:rPr>
              <w:t>Ordnungsamt– Herr Klappstein</w:t>
            </w:r>
          </w:p>
        </w:tc>
        <w:tc>
          <w:tcPr>
            <w:tcW w:w="3072" w:type="dxa"/>
            <w:gridSpan w:val="4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12601.5019</w:t>
            </w:r>
          </w:p>
        </w:tc>
      </w:tr>
      <w:tr w:rsidR="00BA3BB1">
        <w:trPr>
          <w:trHeight w:val="397"/>
        </w:trPr>
        <w:tc>
          <w:tcPr>
            <w:tcW w:w="8698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</w:rPr>
              <w:t>Beschreibung des Konsolidierungsvorschlages</w:t>
            </w:r>
          </w:p>
        </w:tc>
      </w:tr>
      <w:tr w:rsidR="00BA3BB1">
        <w:trPr>
          <w:trHeight w:val="397"/>
        </w:trPr>
        <w:tc>
          <w:tcPr>
            <w:tcW w:w="3974" w:type="dxa"/>
            <w:gridSpan w:val="6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</w:rPr>
              <w:t>Art</w:t>
            </w:r>
          </w:p>
        </w:tc>
        <w:tc>
          <w:tcPr>
            <w:tcW w:w="4724" w:type="dxa"/>
            <w:gridSpan w:val="7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</w:rPr>
              <w:t>Titel</w:t>
            </w:r>
          </w:p>
        </w:tc>
      </w:tr>
      <w:tr w:rsidR="00BA3BB1">
        <w:trPr>
          <w:trHeight w:val="397"/>
        </w:trPr>
        <w:tc>
          <w:tcPr>
            <w:tcW w:w="3974" w:type="dxa"/>
            <w:gridSpan w:val="6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Aufwandsminderung</w:t>
            </w:r>
          </w:p>
        </w:tc>
        <w:tc>
          <w:tcPr>
            <w:tcW w:w="4724" w:type="dxa"/>
            <w:gridSpan w:val="7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Die Anhebung der Aufwandsentschädigung für die Feuerwehrmitglieder wird nicht durchgeführt.</w:t>
            </w:r>
          </w:p>
        </w:tc>
      </w:tr>
      <w:tr w:rsidR="00BA3BB1">
        <w:trPr>
          <w:trHeight w:val="397"/>
        </w:trPr>
        <w:tc>
          <w:tcPr>
            <w:tcW w:w="8698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</w:rPr>
              <w:t>Inhalt und Begründung</w:t>
            </w:r>
          </w:p>
        </w:tc>
      </w:tr>
      <w:tr w:rsidR="00BA3BB1">
        <w:trPr>
          <w:trHeight w:val="397"/>
        </w:trPr>
        <w:tc>
          <w:tcPr>
            <w:tcW w:w="8698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Um Aufwendungen zu sparen wird die Anhebung nicht vorgenommen</w:t>
            </w:r>
          </w:p>
        </w:tc>
      </w:tr>
      <w:tr w:rsidR="00BA3BB1">
        <w:trPr>
          <w:trHeight w:val="397"/>
        </w:trPr>
        <w:tc>
          <w:tcPr>
            <w:tcW w:w="8698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</w:rPr>
              <w:t>Finanzielle Auswirkungen</w:t>
            </w:r>
          </w:p>
        </w:tc>
      </w:tr>
      <w:tr w:rsidR="00BA3BB1">
        <w:trPr>
          <w:trHeight w:val="605"/>
        </w:trPr>
        <w:tc>
          <w:tcPr>
            <w:tcW w:w="4349" w:type="dxa"/>
            <w:gridSpan w:val="7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Umfang der Ergebnisverbesserung im Ergebnishaushalt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in T€ für das Jahr</w:t>
            </w:r>
          </w:p>
        </w:tc>
        <w:tc>
          <w:tcPr>
            <w:tcW w:w="4349" w:type="dxa"/>
            <w:gridSpan w:val="6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Umfang der Verbesserung im Finanzhaushalt T€ für das Jahr</w:t>
            </w:r>
          </w:p>
        </w:tc>
      </w:tr>
      <w:tr w:rsidR="00BA3BB1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2027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2027</w:t>
            </w:r>
          </w:p>
        </w:tc>
      </w:tr>
      <w:tr w:rsidR="00BA3BB1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BA3BB1">
        <w:trPr>
          <w:trHeight w:val="397"/>
        </w:trPr>
        <w:tc>
          <w:tcPr>
            <w:tcW w:w="8698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Umsetzungsstand</w:t>
            </w:r>
          </w:p>
        </w:tc>
      </w:tr>
      <w:tr w:rsidR="00BA3BB1">
        <w:trPr>
          <w:trHeight w:val="397"/>
        </w:trPr>
        <w:tc>
          <w:tcPr>
            <w:tcW w:w="8698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Die Erhöhung der Aufwandsentschädigung war nicht in den Haushalt 2024 eingearbeitet.</w:t>
            </w:r>
          </w:p>
        </w:tc>
      </w:tr>
      <w:tr w:rsidR="00BA3BB1">
        <w:trPr>
          <w:trHeight w:val="397"/>
        </w:trPr>
        <w:tc>
          <w:tcPr>
            <w:tcW w:w="8698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Hinweise</w:t>
            </w:r>
          </w:p>
        </w:tc>
      </w:tr>
      <w:tr w:rsidR="00BA3BB1">
        <w:trPr>
          <w:trHeight w:val="397"/>
        </w:trPr>
        <w:tc>
          <w:tcPr>
            <w:tcW w:w="8698" w:type="dxa"/>
            <w:gridSpan w:val="13"/>
            <w:shd w:val="clear" w:color="auto" w:fill="auto"/>
            <w:vAlign w:val="center"/>
          </w:tcPr>
          <w:p w:rsidR="00BA3BB1" w:rsidRDefault="0040044C">
            <w:pPr>
              <w:spacing w:after="0" w:line="240" w:lineRule="auto"/>
            </w:pP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BA3BB1" w:rsidRDefault="0040044C">
      <w:pPr>
        <w:pStyle w:val="Listenabsatz"/>
        <w:numPr>
          <w:ilvl w:val="1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Zusammenfassung der finanziellen Wirkungen der Konsolidierungsmaßnahmen</w:t>
      </w:r>
    </w:p>
    <w:p w:rsidR="00BA3BB1" w:rsidRDefault="00BA3BB1">
      <w:pPr>
        <w:pStyle w:val="Listenabsatz"/>
        <w:ind w:left="360"/>
        <w:rPr>
          <w:rFonts w:ascii="Arial" w:hAnsi="Arial" w:cs="Arial"/>
        </w:rPr>
      </w:pPr>
    </w:p>
    <w:p w:rsidR="00BA3BB1" w:rsidRDefault="00BA3BB1">
      <w:pPr>
        <w:pStyle w:val="Listenabsatz"/>
        <w:ind w:left="360"/>
        <w:rPr>
          <w:rFonts w:ascii="Arial" w:hAnsi="Arial" w:cs="Arial"/>
          <w:b/>
        </w:rPr>
      </w:pP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1214"/>
        <w:gridCol w:w="1080"/>
        <w:gridCol w:w="2351"/>
        <w:gridCol w:w="904"/>
        <w:gridCol w:w="935"/>
        <w:gridCol w:w="935"/>
        <w:gridCol w:w="935"/>
        <w:gridCol w:w="934"/>
      </w:tblGrid>
      <w:tr w:rsidR="00BA3BB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numPr>
                <w:ilvl w:val="0"/>
                <w:numId w:val="10"/>
              </w:numPr>
              <w:rPr>
                <w:b/>
                <w:color w:val="auto"/>
                <w:sz w:val="20"/>
                <w:szCs w:val="23"/>
              </w:rPr>
            </w:pPr>
            <w:r>
              <w:rPr>
                <w:b/>
                <w:color w:val="auto"/>
                <w:sz w:val="20"/>
                <w:szCs w:val="23"/>
              </w:rPr>
              <w:t>Nr.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rPr>
                <w:b/>
                <w:color w:val="auto"/>
                <w:sz w:val="20"/>
                <w:szCs w:val="23"/>
              </w:rPr>
            </w:pPr>
            <w:r>
              <w:rPr>
                <w:b/>
                <w:color w:val="auto"/>
                <w:sz w:val="20"/>
                <w:szCs w:val="23"/>
              </w:rPr>
              <w:t>Titel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rPr>
                <w:b/>
                <w:color w:val="auto"/>
                <w:sz w:val="20"/>
                <w:szCs w:val="23"/>
              </w:rPr>
            </w:pPr>
            <w:r>
              <w:rPr>
                <w:b/>
                <w:color w:val="auto"/>
                <w:sz w:val="20"/>
                <w:szCs w:val="23"/>
              </w:rPr>
              <w:t>Art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rPr>
                <w:b/>
                <w:color w:val="auto"/>
                <w:sz w:val="20"/>
                <w:szCs w:val="23"/>
              </w:rPr>
            </w:pPr>
            <w:r>
              <w:rPr>
                <w:b/>
                <w:color w:val="auto"/>
                <w:sz w:val="20"/>
                <w:szCs w:val="23"/>
              </w:rPr>
              <w:t>2023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rPr>
                <w:b/>
                <w:color w:val="auto"/>
                <w:sz w:val="20"/>
                <w:szCs w:val="23"/>
              </w:rPr>
            </w:pPr>
            <w:r>
              <w:rPr>
                <w:b/>
                <w:color w:val="auto"/>
                <w:sz w:val="20"/>
                <w:szCs w:val="23"/>
              </w:rPr>
              <w:t>2024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rPr>
                <w:b/>
                <w:color w:val="auto"/>
                <w:sz w:val="20"/>
                <w:szCs w:val="23"/>
              </w:rPr>
            </w:pPr>
            <w:r>
              <w:rPr>
                <w:b/>
                <w:color w:val="auto"/>
                <w:sz w:val="20"/>
                <w:szCs w:val="23"/>
              </w:rPr>
              <w:t>2025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rPr>
                <w:b/>
                <w:color w:val="auto"/>
                <w:sz w:val="20"/>
                <w:szCs w:val="23"/>
              </w:rPr>
            </w:pPr>
            <w:r>
              <w:rPr>
                <w:b/>
                <w:color w:val="auto"/>
                <w:sz w:val="20"/>
                <w:szCs w:val="23"/>
              </w:rPr>
              <w:t>2025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rPr>
                <w:b/>
                <w:color w:val="auto"/>
                <w:sz w:val="20"/>
                <w:szCs w:val="23"/>
              </w:rPr>
            </w:pPr>
            <w:r>
              <w:rPr>
                <w:b/>
                <w:color w:val="auto"/>
                <w:sz w:val="20"/>
                <w:szCs w:val="23"/>
              </w:rPr>
              <w:t>2026</w:t>
            </w:r>
          </w:p>
        </w:tc>
      </w:tr>
      <w:tr w:rsidR="00BA3BB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rPr>
                <w:b/>
                <w:color w:val="auto"/>
                <w:sz w:val="18"/>
                <w:szCs w:val="23"/>
              </w:rPr>
            </w:pPr>
            <w:r>
              <w:rPr>
                <w:b/>
                <w:color w:val="auto"/>
                <w:sz w:val="18"/>
                <w:szCs w:val="23"/>
              </w:rPr>
              <w:t>1.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rPr>
                <w:b/>
                <w:color w:val="auto"/>
                <w:sz w:val="18"/>
                <w:szCs w:val="23"/>
              </w:rPr>
            </w:pPr>
            <w:r>
              <w:rPr>
                <w:b/>
                <w:color w:val="auto"/>
                <w:sz w:val="18"/>
                <w:szCs w:val="23"/>
              </w:rPr>
              <w:t>Verkauf Objekte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rPr>
                <w:b/>
                <w:color w:val="auto"/>
                <w:sz w:val="18"/>
                <w:szCs w:val="23"/>
              </w:rPr>
            </w:pPr>
            <w:r>
              <w:rPr>
                <w:b/>
                <w:color w:val="auto"/>
                <w:sz w:val="18"/>
                <w:szCs w:val="23"/>
              </w:rPr>
              <w:t>Aufwandsminderung</w:t>
            </w:r>
          </w:p>
          <w:p w:rsidR="00BA3BB1" w:rsidRDefault="0040044C">
            <w:pPr>
              <w:pStyle w:val="Default"/>
              <w:rPr>
                <w:b/>
                <w:color w:val="auto"/>
                <w:sz w:val="18"/>
                <w:szCs w:val="23"/>
              </w:rPr>
            </w:pPr>
            <w:r>
              <w:rPr>
                <w:b/>
                <w:color w:val="auto"/>
                <w:sz w:val="18"/>
                <w:szCs w:val="23"/>
              </w:rPr>
              <w:t>Einzahlungssteigerung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rPr>
                <w:b/>
                <w:color w:val="auto"/>
                <w:sz w:val="18"/>
                <w:szCs w:val="23"/>
              </w:rPr>
            </w:pPr>
            <w:r>
              <w:rPr>
                <w:b/>
                <w:color w:val="auto"/>
                <w:sz w:val="18"/>
                <w:szCs w:val="23"/>
              </w:rPr>
              <w:t>0,0</w:t>
            </w:r>
          </w:p>
          <w:p w:rsidR="00BA3BB1" w:rsidRDefault="0040044C">
            <w:pPr>
              <w:pStyle w:val="Default"/>
              <w:rPr>
                <w:b/>
                <w:color w:val="auto"/>
                <w:sz w:val="18"/>
                <w:szCs w:val="23"/>
              </w:rPr>
            </w:pPr>
            <w:r>
              <w:rPr>
                <w:b/>
                <w:color w:val="auto"/>
                <w:sz w:val="18"/>
                <w:szCs w:val="23"/>
              </w:rPr>
              <w:t>36,0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rPr>
                <w:b/>
                <w:color w:val="auto"/>
                <w:sz w:val="18"/>
                <w:szCs w:val="23"/>
              </w:rPr>
            </w:pPr>
            <w:r>
              <w:rPr>
                <w:b/>
                <w:color w:val="auto"/>
                <w:sz w:val="18"/>
                <w:szCs w:val="23"/>
              </w:rPr>
              <w:t>48,0</w:t>
            </w:r>
          </w:p>
          <w:p w:rsidR="00BA3BB1" w:rsidRDefault="0040044C">
            <w:pPr>
              <w:pStyle w:val="Default"/>
              <w:rPr>
                <w:b/>
                <w:color w:val="auto"/>
                <w:sz w:val="18"/>
                <w:szCs w:val="23"/>
              </w:rPr>
            </w:pPr>
            <w:r>
              <w:rPr>
                <w:b/>
                <w:color w:val="auto"/>
                <w:sz w:val="18"/>
                <w:szCs w:val="23"/>
              </w:rPr>
              <w:t>0,6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rPr>
                <w:b/>
                <w:color w:val="auto"/>
                <w:sz w:val="18"/>
                <w:szCs w:val="23"/>
              </w:rPr>
            </w:pPr>
            <w:r>
              <w:rPr>
                <w:b/>
                <w:color w:val="auto"/>
                <w:sz w:val="18"/>
                <w:szCs w:val="23"/>
              </w:rPr>
              <w:t>48,0</w:t>
            </w:r>
          </w:p>
          <w:p w:rsidR="00BA3BB1" w:rsidRDefault="0040044C">
            <w:pPr>
              <w:pStyle w:val="Default"/>
              <w:rPr>
                <w:b/>
                <w:color w:val="auto"/>
                <w:sz w:val="18"/>
                <w:szCs w:val="23"/>
              </w:rPr>
            </w:pPr>
            <w:r>
              <w:rPr>
                <w:b/>
                <w:color w:val="auto"/>
                <w:sz w:val="18"/>
                <w:szCs w:val="23"/>
              </w:rPr>
              <w:t>0,6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rPr>
                <w:b/>
                <w:color w:val="auto"/>
                <w:sz w:val="18"/>
                <w:szCs w:val="23"/>
              </w:rPr>
            </w:pPr>
            <w:r>
              <w:rPr>
                <w:b/>
                <w:color w:val="auto"/>
                <w:sz w:val="18"/>
                <w:szCs w:val="23"/>
              </w:rPr>
              <w:t>48,0</w:t>
            </w:r>
          </w:p>
          <w:p w:rsidR="00BA3BB1" w:rsidRDefault="0040044C">
            <w:pPr>
              <w:pStyle w:val="Default"/>
              <w:rPr>
                <w:b/>
                <w:color w:val="auto"/>
                <w:sz w:val="18"/>
                <w:szCs w:val="23"/>
              </w:rPr>
            </w:pPr>
            <w:r>
              <w:rPr>
                <w:b/>
                <w:color w:val="auto"/>
                <w:sz w:val="18"/>
                <w:szCs w:val="23"/>
              </w:rPr>
              <w:t>0,6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rPr>
                <w:b/>
                <w:color w:val="auto"/>
                <w:sz w:val="18"/>
                <w:szCs w:val="23"/>
              </w:rPr>
            </w:pPr>
            <w:r>
              <w:rPr>
                <w:b/>
                <w:color w:val="auto"/>
                <w:sz w:val="18"/>
                <w:szCs w:val="23"/>
              </w:rPr>
              <w:t>48,0</w:t>
            </w:r>
          </w:p>
          <w:p w:rsidR="00BA3BB1" w:rsidRDefault="0040044C">
            <w:pPr>
              <w:pStyle w:val="Default"/>
              <w:rPr>
                <w:b/>
                <w:color w:val="auto"/>
                <w:sz w:val="18"/>
                <w:szCs w:val="23"/>
              </w:rPr>
            </w:pPr>
            <w:r>
              <w:rPr>
                <w:b/>
                <w:color w:val="auto"/>
                <w:sz w:val="18"/>
                <w:szCs w:val="23"/>
              </w:rPr>
              <w:t>0,6</w:t>
            </w:r>
          </w:p>
        </w:tc>
      </w:tr>
      <w:tr w:rsidR="00BA3BB1">
        <w:trPr>
          <w:trHeight w:val="340"/>
        </w:trPr>
        <w:tc>
          <w:tcPr>
            <w:tcW w:w="4107" w:type="dxa"/>
            <w:gridSpan w:val="3"/>
            <w:shd w:val="clear" w:color="auto" w:fill="auto"/>
            <w:vAlign w:val="center"/>
          </w:tcPr>
          <w:p w:rsidR="00BA3BB1" w:rsidRDefault="0040044C">
            <w:pPr>
              <w:pStyle w:val="Default"/>
              <w:jc w:val="center"/>
              <w:rPr>
                <w:b/>
                <w:color w:val="auto"/>
                <w:sz w:val="18"/>
                <w:szCs w:val="23"/>
              </w:rPr>
            </w:pPr>
            <w:r>
              <w:rPr>
                <w:b/>
                <w:color w:val="auto"/>
                <w:sz w:val="20"/>
                <w:szCs w:val="23"/>
              </w:rPr>
              <w:t>Gesamt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rPr>
                <w:b/>
                <w:color w:val="auto"/>
                <w:sz w:val="18"/>
                <w:szCs w:val="23"/>
              </w:rPr>
            </w:pPr>
            <w:r>
              <w:rPr>
                <w:b/>
                <w:color w:val="auto"/>
                <w:sz w:val="18"/>
                <w:szCs w:val="23"/>
              </w:rPr>
              <w:t>36,0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rPr>
                <w:b/>
                <w:color w:val="auto"/>
                <w:sz w:val="18"/>
                <w:szCs w:val="23"/>
              </w:rPr>
            </w:pPr>
            <w:r>
              <w:rPr>
                <w:b/>
                <w:color w:val="auto"/>
                <w:sz w:val="18"/>
                <w:szCs w:val="23"/>
              </w:rPr>
              <w:t>48,6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rPr>
                <w:b/>
                <w:color w:val="auto"/>
                <w:sz w:val="18"/>
                <w:szCs w:val="23"/>
              </w:rPr>
            </w:pPr>
            <w:r>
              <w:rPr>
                <w:b/>
                <w:color w:val="auto"/>
                <w:sz w:val="18"/>
                <w:szCs w:val="23"/>
              </w:rPr>
              <w:t>48,6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rPr>
                <w:b/>
                <w:color w:val="auto"/>
                <w:sz w:val="18"/>
                <w:szCs w:val="23"/>
              </w:rPr>
            </w:pPr>
            <w:r>
              <w:rPr>
                <w:b/>
                <w:color w:val="auto"/>
                <w:sz w:val="18"/>
                <w:szCs w:val="23"/>
              </w:rPr>
              <w:t>48,6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A3BB1" w:rsidRDefault="0040044C">
            <w:pPr>
              <w:pStyle w:val="Default"/>
              <w:rPr>
                <w:b/>
                <w:color w:val="auto"/>
                <w:sz w:val="18"/>
                <w:szCs w:val="23"/>
              </w:rPr>
            </w:pPr>
            <w:r>
              <w:rPr>
                <w:b/>
                <w:color w:val="auto"/>
                <w:sz w:val="18"/>
                <w:szCs w:val="23"/>
              </w:rPr>
              <w:t>48,6</w:t>
            </w:r>
          </w:p>
        </w:tc>
      </w:tr>
      <w:tr w:rsidR="00BA3BB1">
        <w:trPr>
          <w:trHeight w:val="340"/>
        </w:trPr>
        <w:tc>
          <w:tcPr>
            <w:tcW w:w="4107" w:type="dxa"/>
            <w:gridSpan w:val="3"/>
            <w:shd w:val="clear" w:color="auto" w:fill="auto"/>
            <w:vAlign w:val="center"/>
          </w:tcPr>
          <w:p w:rsidR="00BA3BB1" w:rsidRDefault="00BA3BB1">
            <w:pPr>
              <w:pStyle w:val="Default"/>
              <w:jc w:val="center"/>
              <w:rPr>
                <w:b/>
                <w:color w:val="auto"/>
                <w:sz w:val="20"/>
                <w:szCs w:val="23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A3BB1" w:rsidRDefault="00BA3BB1">
            <w:pPr>
              <w:pStyle w:val="Default"/>
              <w:rPr>
                <w:b/>
                <w:color w:val="auto"/>
                <w:sz w:val="18"/>
                <w:szCs w:val="23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A3BB1" w:rsidRDefault="00BA3BB1">
            <w:pPr>
              <w:pStyle w:val="Default"/>
              <w:rPr>
                <w:b/>
                <w:color w:val="auto"/>
                <w:sz w:val="18"/>
                <w:szCs w:val="23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A3BB1" w:rsidRDefault="00BA3BB1">
            <w:pPr>
              <w:pStyle w:val="Default"/>
              <w:rPr>
                <w:b/>
                <w:color w:val="auto"/>
                <w:sz w:val="18"/>
                <w:szCs w:val="23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A3BB1" w:rsidRDefault="00BA3BB1">
            <w:pPr>
              <w:pStyle w:val="Default"/>
              <w:rPr>
                <w:b/>
                <w:color w:val="auto"/>
                <w:sz w:val="18"/>
                <w:szCs w:val="23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BA3BB1" w:rsidRDefault="00BA3BB1">
            <w:pPr>
              <w:pStyle w:val="Default"/>
              <w:rPr>
                <w:b/>
                <w:color w:val="auto"/>
                <w:sz w:val="18"/>
                <w:szCs w:val="23"/>
              </w:rPr>
            </w:pPr>
          </w:p>
        </w:tc>
      </w:tr>
    </w:tbl>
    <w:p w:rsidR="00BA3BB1" w:rsidRDefault="00BA3BB1">
      <w:pPr>
        <w:pStyle w:val="Default"/>
        <w:rPr>
          <w:b/>
          <w:color w:val="auto"/>
          <w:sz w:val="23"/>
          <w:szCs w:val="23"/>
        </w:rPr>
      </w:pPr>
    </w:p>
    <w:p w:rsidR="00BA3BB1" w:rsidRDefault="00BA3BB1">
      <w:pPr>
        <w:pStyle w:val="Listenabsatz"/>
        <w:ind w:left="360"/>
        <w:rPr>
          <w:rFonts w:ascii="Arial" w:hAnsi="Arial" w:cs="Arial"/>
        </w:rPr>
      </w:pPr>
    </w:p>
    <w:p w:rsidR="00BA3BB1" w:rsidRDefault="00BA3BB1">
      <w:pPr>
        <w:pStyle w:val="Default"/>
        <w:rPr>
          <w:b/>
          <w:sz w:val="22"/>
          <w:szCs w:val="22"/>
        </w:rPr>
      </w:pPr>
    </w:p>
    <w:p w:rsidR="00BA3BB1" w:rsidRDefault="00BA3BB1">
      <w:pPr>
        <w:pStyle w:val="Default"/>
        <w:rPr>
          <w:b/>
          <w:sz w:val="22"/>
          <w:szCs w:val="22"/>
        </w:rPr>
      </w:pPr>
    </w:p>
    <w:p w:rsidR="00BA3BB1" w:rsidRDefault="0040044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Ergebnishaushalt:</w:t>
      </w:r>
    </w:p>
    <w:tbl>
      <w:tblPr>
        <w:tblW w:w="10294" w:type="dxa"/>
        <w:tblInd w:w="15" w:type="dxa"/>
        <w:tblCellMar>
          <w:left w:w="6" w:type="dxa"/>
          <w:right w:w="57" w:type="dxa"/>
        </w:tblCellMar>
        <w:tblLook w:val="0000" w:firstRow="0" w:lastRow="0" w:firstColumn="0" w:lastColumn="0" w:noHBand="0" w:noVBand="0"/>
      </w:tblPr>
      <w:tblGrid>
        <w:gridCol w:w="382"/>
        <w:gridCol w:w="3148"/>
        <w:gridCol w:w="1126"/>
        <w:gridCol w:w="1129"/>
        <w:gridCol w:w="1127"/>
        <w:gridCol w:w="1127"/>
        <w:gridCol w:w="1125"/>
        <w:gridCol w:w="1130"/>
      </w:tblGrid>
      <w:tr w:rsidR="00BA3BB1">
        <w:trPr>
          <w:cantSplit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ind w:left="61" w:hanging="4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2027</w:t>
            </w:r>
          </w:p>
        </w:tc>
      </w:tr>
      <w:tr w:rsidR="00BA3BB1">
        <w:trPr>
          <w:cantSplit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ind w:left="61" w:hanging="4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Jahresergebnis (Jahresüberschuss/ Jahresfehlbetrag, Nummer 20 zuzüglich Nummern 22 und 24 abzüglich Nummern 21 und 23)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66.356,27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-56.000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-23.900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-1.400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-500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-9.000</w:t>
            </w:r>
          </w:p>
        </w:tc>
      </w:tr>
      <w:tr w:rsidR="00BA3BB1">
        <w:trPr>
          <w:cantSplit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ind w:left="61" w:hanging="4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nachrichtlich: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BA3BB1">
        <w:trPr>
          <w:cantSplit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ind w:left="61" w:hanging="4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Ergebnisvortrag aus dem Haushaltsvorjahr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-74.510,09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-8.154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-64.154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-88.054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-89.454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-89.954</w:t>
            </w:r>
          </w:p>
        </w:tc>
      </w:tr>
      <w:tr w:rsidR="00BA3BB1">
        <w:trPr>
          <w:cantSplit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ind w:left="61" w:hanging="4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Ergebnis (Überschuss/Fehlbetrag) zum 31. Dezember des Haushaltsjahres (Summe der Nummern 25 und 26)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-8.153,82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-64.154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-88.054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-89.454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-89.954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2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-98.954</w:t>
            </w:r>
          </w:p>
        </w:tc>
      </w:tr>
    </w:tbl>
    <w:p w:rsidR="00BA3BB1" w:rsidRDefault="00BA3BB1">
      <w:pPr>
        <w:pStyle w:val="Default"/>
        <w:rPr>
          <w:b/>
          <w:sz w:val="22"/>
          <w:szCs w:val="22"/>
        </w:rPr>
      </w:pPr>
    </w:p>
    <w:p w:rsidR="00BA3BB1" w:rsidRDefault="00BA3BB1">
      <w:pPr>
        <w:pStyle w:val="Listenabsatz"/>
        <w:ind w:left="360"/>
        <w:rPr>
          <w:rFonts w:ascii="Arial" w:hAnsi="Arial" w:cs="Arial"/>
        </w:rPr>
      </w:pPr>
    </w:p>
    <w:p w:rsidR="00BA3BB1" w:rsidRDefault="0040044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Finanzhaushalt:</w:t>
      </w:r>
    </w:p>
    <w:tbl>
      <w:tblPr>
        <w:tblW w:w="10328" w:type="dxa"/>
        <w:tblInd w:w="4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"/>
        <w:gridCol w:w="343"/>
        <w:gridCol w:w="11"/>
        <w:gridCol w:w="2902"/>
        <w:gridCol w:w="11"/>
        <w:gridCol w:w="1032"/>
        <w:gridCol w:w="12"/>
        <w:gridCol w:w="1032"/>
        <w:gridCol w:w="11"/>
        <w:gridCol w:w="1034"/>
        <w:gridCol w:w="10"/>
        <w:gridCol w:w="1033"/>
        <w:gridCol w:w="10"/>
        <w:gridCol w:w="1034"/>
        <w:gridCol w:w="11"/>
        <w:gridCol w:w="1038"/>
        <w:gridCol w:w="11"/>
        <w:gridCol w:w="468"/>
        <w:gridCol w:w="162"/>
      </w:tblGrid>
      <w:tr w:rsidR="00BA3BB1">
        <w:trPr>
          <w:cantSplit/>
        </w:trPr>
        <w:tc>
          <w:tcPr>
            <w:tcW w:w="162" w:type="dxa"/>
            <w:shd w:val="clear" w:color="auto" w:fill="auto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" w:type="dxa"/>
              <w:right w:w="57" w:type="dxa"/>
            </w:tcMar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60"/>
              <w:ind w:left="56" w:firstLine="1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2022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2023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2024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2025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2026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2027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BA3BB1">
        <w:trPr>
          <w:cantSplit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" w:type="dxa"/>
              <w:right w:w="57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37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60"/>
              <w:ind w:left="56" w:firstLine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Jahresbezogener Saldo der laufenden Ein- und Auszahlungen (Saldo der Nummern 18 und 32)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64.970,72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-52.300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</w:pPr>
            <w:r>
              <w:rPr>
                <w:rFonts w:ascii="Arial Narrow" w:hAnsi="Arial Narrow" w:cs="Arial Narrow"/>
                <w:sz w:val="16"/>
                <w:szCs w:val="16"/>
              </w:rPr>
              <w:t>-16.600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10.100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</w:pPr>
            <w:r>
              <w:rPr>
                <w:rFonts w:ascii="Arial Narrow" w:hAnsi="Arial Narrow" w:cs="Arial Narrow"/>
                <w:sz w:val="16"/>
                <w:szCs w:val="16"/>
              </w:rPr>
              <w:t>11</w:t>
            </w:r>
            <w:r>
              <w:rPr>
                <w:rFonts w:ascii="Arial Narrow" w:hAnsi="Arial Narrow" w:cs="Arial Narrow"/>
                <w:sz w:val="16"/>
                <w:szCs w:val="16"/>
              </w:rPr>
              <w:t>.300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2.600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62" w:type="dxa"/>
            <w:shd w:val="clear" w:color="auto" w:fill="auto"/>
          </w:tcPr>
          <w:p w:rsidR="00BA3BB1" w:rsidRDefault="00BA3BB1"/>
        </w:tc>
      </w:tr>
      <w:tr w:rsidR="00BA3BB1">
        <w:trPr>
          <w:cantSplit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" w:type="dxa"/>
              <w:right w:w="57" w:type="dxa"/>
            </w:tcMar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60"/>
              <w:ind w:left="56" w:firstLine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nachrichtlich: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62" w:type="dxa"/>
            <w:shd w:val="clear" w:color="auto" w:fill="auto"/>
          </w:tcPr>
          <w:p w:rsidR="00BA3BB1" w:rsidRDefault="00BA3BB1"/>
        </w:tc>
      </w:tr>
      <w:tr w:rsidR="00BA3BB1">
        <w:trPr>
          <w:cantSplit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" w:type="dxa"/>
              <w:right w:w="57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38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60"/>
              <w:ind w:left="56" w:firstLine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Saldo der laufenden Ein- und Auszahlungen zum 31. Dezember des Haushaltsvorjahres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-288.132,07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-223.161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-275.461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</w:pPr>
            <w:r>
              <w:rPr>
                <w:rFonts w:ascii="Arial Narrow" w:hAnsi="Arial Narrow" w:cs="Arial Narrow"/>
                <w:sz w:val="16"/>
                <w:szCs w:val="16"/>
              </w:rPr>
              <w:t>-292.061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</w:pPr>
            <w:r>
              <w:rPr>
                <w:rFonts w:ascii="Arial Narrow" w:hAnsi="Arial Narrow" w:cs="Arial Narrow"/>
                <w:sz w:val="16"/>
                <w:szCs w:val="16"/>
              </w:rPr>
              <w:t>-</w:t>
            </w:r>
            <w:r>
              <w:rPr>
                <w:rFonts w:ascii="Arial Narrow" w:hAnsi="Arial Narrow" w:cs="Arial Narrow"/>
                <w:sz w:val="16"/>
                <w:szCs w:val="16"/>
              </w:rPr>
              <w:t>281.961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</w:pPr>
            <w:r>
              <w:rPr>
                <w:rFonts w:ascii="Arial Narrow" w:hAnsi="Arial Narrow" w:cs="Arial Narrow"/>
                <w:sz w:val="16"/>
                <w:szCs w:val="16"/>
              </w:rPr>
              <w:t>-</w:t>
            </w:r>
            <w:r>
              <w:rPr>
                <w:rFonts w:ascii="Arial Narrow" w:hAnsi="Arial Narrow" w:cs="Arial Narrow"/>
                <w:sz w:val="16"/>
                <w:szCs w:val="16"/>
              </w:rPr>
              <w:t>270.661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62" w:type="dxa"/>
            <w:shd w:val="clear" w:color="auto" w:fill="auto"/>
          </w:tcPr>
          <w:p w:rsidR="00BA3BB1" w:rsidRDefault="00BA3BB1"/>
        </w:tc>
      </w:tr>
      <w:tr w:rsidR="00BA3BB1">
        <w:trPr>
          <w:cantSplit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" w:type="dxa"/>
              <w:right w:w="57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39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6" w:type="dxa"/>
            </w:tcMar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60"/>
              <w:ind w:left="56" w:firstLine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Saldo der laufenden Ein- und Auszahlungen zum 31. Dezember des Haushaltsjahres (Summe der Nummern 37 und 38)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-223.161,35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-275.461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</w:pPr>
            <w:r>
              <w:rPr>
                <w:rFonts w:ascii="Arial Narrow" w:hAnsi="Arial Narrow" w:cs="Arial Narrow"/>
                <w:sz w:val="16"/>
                <w:szCs w:val="16"/>
              </w:rPr>
              <w:t>-292.061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-281.961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</w:pPr>
            <w:r>
              <w:rPr>
                <w:rFonts w:ascii="Arial Narrow" w:hAnsi="Arial Narrow" w:cs="Arial Narrow"/>
                <w:sz w:val="16"/>
                <w:szCs w:val="16"/>
              </w:rPr>
              <w:t>-</w:t>
            </w:r>
            <w:r>
              <w:rPr>
                <w:rFonts w:ascii="Arial Narrow" w:hAnsi="Arial Narrow" w:cs="Arial Narrow"/>
                <w:sz w:val="16"/>
                <w:szCs w:val="16"/>
              </w:rPr>
              <w:t>270.661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1" w:type="dxa"/>
            </w:tcMar>
            <w:vAlign w:val="bottom"/>
          </w:tcPr>
          <w:p w:rsidR="00BA3BB1" w:rsidRDefault="0040044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right"/>
            </w:pPr>
            <w:r>
              <w:rPr>
                <w:rFonts w:ascii="Arial Narrow" w:hAnsi="Arial Narrow" w:cs="Arial Narrow"/>
                <w:sz w:val="16"/>
                <w:szCs w:val="16"/>
              </w:rPr>
              <w:t>-268.061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BB1" w:rsidRDefault="00BA3BB1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54"/>
                <w:tab w:val="left" w:pos="638"/>
                <w:tab w:val="left" w:pos="921"/>
              </w:tabs>
              <w:spacing w:before="60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62" w:type="dxa"/>
            <w:shd w:val="clear" w:color="auto" w:fill="auto"/>
          </w:tcPr>
          <w:p w:rsidR="00BA3BB1" w:rsidRDefault="00BA3BB1"/>
        </w:tc>
      </w:tr>
    </w:tbl>
    <w:p w:rsidR="00BA3BB1" w:rsidRDefault="00BA3BB1">
      <w:pPr>
        <w:pStyle w:val="Default"/>
        <w:rPr>
          <w:b/>
          <w:sz w:val="22"/>
          <w:szCs w:val="22"/>
        </w:rPr>
      </w:pPr>
    </w:p>
    <w:p w:rsidR="00BA3BB1" w:rsidRDefault="00BA3BB1">
      <w:pPr>
        <w:pStyle w:val="Default"/>
        <w:rPr>
          <w:b/>
          <w:sz w:val="22"/>
          <w:szCs w:val="22"/>
        </w:rPr>
      </w:pP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Die Gemeinde wird einen Antrag </w:t>
      </w:r>
      <w:r>
        <w:rPr>
          <w:rFonts w:ascii="Arial" w:hAnsi="Arial" w:cs="Arial"/>
        </w:rPr>
        <w:t xml:space="preserve">auf Gewährung einer </w:t>
      </w:r>
      <w:r>
        <w:rPr>
          <w:rFonts w:ascii="Arial" w:hAnsi="Arial" w:cs="Arial"/>
          <w:b/>
          <w:bCs/>
        </w:rPr>
        <w:t xml:space="preserve">Sonder- und Ergänzungszuweisung </w:t>
      </w:r>
      <w:r>
        <w:rPr>
          <w:rFonts w:ascii="Arial" w:hAnsi="Arial" w:cs="Arial"/>
        </w:rPr>
        <w:t xml:space="preserve">gemäß § 27 Absatz 2 FAG M-V für das Haushaltsjahr </w:t>
      </w:r>
      <w:r>
        <w:rPr>
          <w:rFonts w:ascii="Arial" w:hAnsi="Arial" w:cs="Arial"/>
          <w:b/>
          <w:bCs/>
        </w:rPr>
        <w:t>2023</w:t>
      </w:r>
    </w:p>
    <w:p w:rsidR="00BA3BB1" w:rsidRDefault="0040044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stellen</w:t>
      </w:r>
      <w:proofErr w:type="gramEnd"/>
      <w:r>
        <w:rPr>
          <w:sz w:val="22"/>
          <w:szCs w:val="22"/>
        </w:rPr>
        <w:t xml:space="preserve">. </w:t>
      </w:r>
    </w:p>
    <w:p w:rsidR="00BA3BB1" w:rsidRDefault="004004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Durch die Sonder- und Ergänzungszuweisung </w:t>
      </w:r>
      <w:proofErr w:type="gramStart"/>
      <w:r>
        <w:rPr>
          <w:sz w:val="22"/>
          <w:szCs w:val="22"/>
        </w:rPr>
        <w:t>gemäß  §</w:t>
      </w:r>
      <w:proofErr w:type="gramEnd"/>
      <w:r>
        <w:rPr>
          <w:sz w:val="22"/>
          <w:szCs w:val="22"/>
        </w:rPr>
        <w:t xml:space="preserve"> 27 Abs. 2 FAG M-V könnte der negative Ergebnisvortrag erheblich gemindert werden.</w:t>
      </w:r>
    </w:p>
    <w:p w:rsidR="00BA3BB1" w:rsidRDefault="00BA3BB1"/>
    <w:p w:rsidR="00BA3BB1" w:rsidRDefault="0040044C">
      <w:pPr>
        <w:pStyle w:val="Default"/>
        <w:numPr>
          <w:ilvl w:val="0"/>
          <w:numId w:val="2"/>
        </w:numPr>
        <w:ind w:left="644"/>
        <w:rPr>
          <w:sz w:val="22"/>
          <w:szCs w:val="22"/>
        </w:rPr>
      </w:pPr>
      <w:r>
        <w:rPr>
          <w:sz w:val="22"/>
          <w:szCs w:val="22"/>
        </w:rPr>
        <w:t>Keine weiteren freiwilligen Aufgaben ohne Verzicht auf bestehende Einstellung gewohnter freiwilliger Leistungen</w:t>
      </w:r>
    </w:p>
    <w:p w:rsidR="00BA3BB1" w:rsidRDefault="00BA3BB1">
      <w:pPr>
        <w:pStyle w:val="Default"/>
        <w:ind w:left="720"/>
        <w:rPr>
          <w:sz w:val="22"/>
          <w:szCs w:val="22"/>
        </w:rPr>
      </w:pPr>
    </w:p>
    <w:p w:rsidR="00BA3BB1" w:rsidRDefault="0040044C">
      <w:pPr>
        <w:pStyle w:val="Default"/>
        <w:numPr>
          <w:ilvl w:val="0"/>
          <w:numId w:val="2"/>
        </w:numPr>
        <w:ind w:left="644"/>
        <w:rPr>
          <w:sz w:val="22"/>
          <w:szCs w:val="22"/>
        </w:rPr>
      </w:pPr>
      <w:r>
        <w:rPr>
          <w:sz w:val="22"/>
          <w:szCs w:val="22"/>
        </w:rPr>
        <w:t xml:space="preserve">Mehreinnahmen stehen nicht für den lfd. Zwecke zur </w:t>
      </w:r>
      <w:r>
        <w:rPr>
          <w:sz w:val="22"/>
          <w:szCs w:val="22"/>
        </w:rPr>
        <w:t>Verfügung, sondern werden zum Abbau von Verlustvorträgen eingesetzt</w:t>
      </w:r>
    </w:p>
    <w:p w:rsidR="00BA3BB1" w:rsidRDefault="00BA3BB1">
      <w:pPr>
        <w:pStyle w:val="Default"/>
        <w:rPr>
          <w:sz w:val="22"/>
          <w:szCs w:val="22"/>
        </w:rPr>
      </w:pPr>
    </w:p>
    <w:p w:rsidR="00BA3BB1" w:rsidRDefault="0040044C">
      <w:pPr>
        <w:pStyle w:val="Default"/>
        <w:numPr>
          <w:ilvl w:val="0"/>
          <w:numId w:val="2"/>
        </w:numPr>
        <w:ind w:left="644"/>
        <w:rPr>
          <w:sz w:val="22"/>
          <w:szCs w:val="22"/>
        </w:rPr>
      </w:pPr>
      <w:r>
        <w:rPr>
          <w:sz w:val="22"/>
          <w:szCs w:val="22"/>
        </w:rPr>
        <w:t>Die Gemeinde verpflichtet sich keine neuen Aufgaben wahrzunehmen, soweit diese nicht auf einer gesetzlichen Verpflichtung beruhen. Die Basis bildet hierbei der Aufgabenbestand der Gemeind</w:t>
      </w:r>
      <w:r>
        <w:rPr>
          <w:sz w:val="22"/>
          <w:szCs w:val="22"/>
        </w:rPr>
        <w:t xml:space="preserve">e im Haushaltsjahr 2018. Ausnahmen sind mit Zustimmung der Gemeindevertretung zulässig, wenn zusätzlich zum gültigen </w:t>
      </w:r>
      <w:r>
        <w:rPr>
          <w:sz w:val="22"/>
          <w:szCs w:val="22"/>
        </w:rPr>
        <w:lastRenderedPageBreak/>
        <w:t>Haushaltsicherungskonzept andere freiwillige Aufgaben mit gleichem oder höherem Aufgabenbedarf zur Kompensation eingestellt werden</w:t>
      </w:r>
    </w:p>
    <w:p w:rsidR="00BA3BB1" w:rsidRDefault="00BA3BB1">
      <w:pPr>
        <w:pStyle w:val="Default"/>
        <w:rPr>
          <w:sz w:val="22"/>
          <w:szCs w:val="22"/>
        </w:rPr>
      </w:pPr>
    </w:p>
    <w:p w:rsidR="00BA3BB1" w:rsidRDefault="00BA3BB1">
      <w:pPr>
        <w:pStyle w:val="Default"/>
        <w:rPr>
          <w:sz w:val="22"/>
          <w:szCs w:val="22"/>
        </w:rPr>
      </w:pPr>
    </w:p>
    <w:p w:rsidR="00BA3BB1" w:rsidRDefault="00BA3BB1">
      <w:pPr>
        <w:pStyle w:val="Default"/>
        <w:rPr>
          <w:sz w:val="22"/>
          <w:szCs w:val="22"/>
        </w:rPr>
      </w:pPr>
    </w:p>
    <w:p w:rsidR="00BA3BB1" w:rsidRDefault="0040044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>
        <w:rPr>
          <w:b/>
          <w:sz w:val="23"/>
          <w:szCs w:val="23"/>
        </w:rPr>
        <w:tab/>
        <w:t>Kon</w:t>
      </w:r>
      <w:r>
        <w:rPr>
          <w:b/>
          <w:sz w:val="23"/>
          <w:szCs w:val="23"/>
        </w:rPr>
        <w:t>solidierungszeitraum</w:t>
      </w:r>
    </w:p>
    <w:p w:rsidR="00BA3BB1" w:rsidRDefault="00BA3BB1">
      <w:pPr>
        <w:pStyle w:val="Default"/>
        <w:rPr>
          <w:b/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Ein Konsolidierungszeitraum kann nicht festgesetzt werden.</w:t>
      </w: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Aus der vorhergehenden Analyse ist die Nichtfestsetzung eines Konsolidierungszeitraumes ausreichend begründet worden.</w:t>
      </w: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einer vorsichtigen Schätzung könnte ein Zeitraum von 5</w:t>
      </w:r>
      <w:r>
        <w:rPr>
          <w:sz w:val="23"/>
          <w:szCs w:val="23"/>
        </w:rPr>
        <w:t xml:space="preserve">-6 Jahren </w:t>
      </w:r>
    </w:p>
    <w:p w:rsidR="00BA3BB1" w:rsidRDefault="0040044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festgesetzt</w:t>
      </w:r>
      <w:proofErr w:type="gramEnd"/>
      <w:r>
        <w:rPr>
          <w:sz w:val="23"/>
          <w:szCs w:val="23"/>
        </w:rPr>
        <w:t xml:space="preserve"> werden.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7</w:t>
      </w:r>
      <w:r>
        <w:rPr>
          <w:b/>
          <w:sz w:val="23"/>
          <w:szCs w:val="23"/>
        </w:rPr>
        <w:tab/>
        <w:t>Verbindlichkeit des Haushaltssicherungskonzeptes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Die Erreichung der Haushaltskonsolidierung ist im Rahmen eines (jährlich fortzuschreibenden) Haushaltssicherungskonzeptes zu dokumentieren.</w:t>
      </w: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Das beschlossene Haushaltssiche</w:t>
      </w:r>
      <w:r>
        <w:rPr>
          <w:sz w:val="23"/>
          <w:szCs w:val="23"/>
        </w:rPr>
        <w:t>rungskonzept bindet die Gemeindevertretung bei allen Beschlüssen. Beschlussfassungen, die Maßnahmen des Haushaltskonsolidierungskonzeptes entgegenstehen bzw. deren Umsetzung verhindern oder verzögern, sind rechtswidrig, soweit nicht unmittelbar zusätzliche</w:t>
      </w:r>
      <w:r>
        <w:rPr>
          <w:sz w:val="23"/>
          <w:szCs w:val="23"/>
        </w:rPr>
        <w:t xml:space="preserve"> gleich gut geeignete Maßnahmen zur Haushaltssicherung beschlossen werden. Als Maßnahmen der Gemeinde gelten in diesem Zusammenhang keine Mehreinnahmen und/oder Minderausgaben, deren Entwicklung die Gemeinde nicht beeinflussen kann. Diese sind zusätzlich z</w:t>
      </w:r>
      <w:r>
        <w:rPr>
          <w:sz w:val="23"/>
          <w:szCs w:val="23"/>
        </w:rPr>
        <w:t>ur Reduzierung der Fehlbeträge heranzuziehen. Mit der Umsetzung von auf dieser Basis zulässigen Beschlüssen kann erst nach Umsetzung der kompensierenden zusätzlichen Haushaltssicherungsmaßnahmen begonnen werden. Anträge sowie Beschlussvorlagen der Verwaltu</w:t>
      </w:r>
      <w:r>
        <w:rPr>
          <w:sz w:val="23"/>
          <w:szCs w:val="23"/>
        </w:rPr>
        <w:t>ng, die die Umsetzung des Haushaltssicherungskonzeptes verzögern oder diesen entgegenstehen, müssen unter Benennung der berührten Maßnahme des Haushaltssicherungskonzeptes zusätzliche neue Maßnahmen benennen, die die entstehenden Mehrausgaben oder Minderei</w:t>
      </w:r>
      <w:r>
        <w:rPr>
          <w:sz w:val="23"/>
          <w:szCs w:val="23"/>
        </w:rPr>
        <w:t>nnahmen vollständig kompensieren. Dabei ist auf die Eignung der neuen</w:t>
      </w: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Maßnahmen ausführlich einzugehen.</w:t>
      </w: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BA3BB1">
      <w:pPr>
        <w:pStyle w:val="Default"/>
        <w:rPr>
          <w:sz w:val="23"/>
          <w:szCs w:val="23"/>
        </w:rPr>
      </w:pPr>
    </w:p>
    <w:p w:rsidR="00BA3BB1" w:rsidRDefault="0040044C">
      <w:pPr>
        <w:pStyle w:val="Default"/>
      </w:pPr>
      <w:proofErr w:type="spellStart"/>
      <w:r>
        <w:rPr>
          <w:sz w:val="23"/>
          <w:szCs w:val="23"/>
        </w:rPr>
        <w:t>Voigtsdorf</w:t>
      </w:r>
      <w:proofErr w:type="spellEnd"/>
      <w:r>
        <w:rPr>
          <w:sz w:val="23"/>
          <w:szCs w:val="23"/>
        </w:rPr>
        <w:t>, d. 29.04.2024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Deutschmann</w:t>
      </w:r>
    </w:p>
    <w:p w:rsidR="00BA3BB1" w:rsidRDefault="00400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Bürgermeisterin</w:t>
      </w:r>
    </w:p>
    <w:p w:rsidR="00BA3BB1" w:rsidRDefault="00BA3BB1">
      <w:pPr>
        <w:pStyle w:val="Default"/>
      </w:pPr>
    </w:p>
    <w:sectPr w:rsidR="00BA3BB1">
      <w:pgSz w:w="11906" w:h="16838"/>
      <w:pgMar w:top="1417" w:right="1417" w:bottom="1134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17331"/>
    <w:multiLevelType w:val="multilevel"/>
    <w:tmpl w:val="D9AE6B06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 w:val="0"/>
        <w:bCs/>
        <w:i w:val="0"/>
        <w:iCs w:val="0"/>
        <w:caps w:val="0"/>
        <w:smallCaps w:val="0"/>
        <w:strike w:val="0"/>
        <w:dstrike w:val="0"/>
        <w:vanish w:val="0"/>
        <w:color w:val="4472C4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79" w:hanging="737"/>
      </w:pPr>
      <w:rPr>
        <w:b/>
        <w:bCs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965C37"/>
    <w:multiLevelType w:val="multilevel"/>
    <w:tmpl w:val="E8FE0C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2C754DEB"/>
    <w:multiLevelType w:val="multilevel"/>
    <w:tmpl w:val="F4AAA38E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8C7050"/>
    <w:multiLevelType w:val="multilevel"/>
    <w:tmpl w:val="1D165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55C36823"/>
    <w:multiLevelType w:val="multilevel"/>
    <w:tmpl w:val="97B0AB8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331D66"/>
    <w:multiLevelType w:val="multilevel"/>
    <w:tmpl w:val="1E6A24A4"/>
    <w:lvl w:ilvl="0">
      <w:start w:val="1"/>
      <w:numFmt w:val="bullet"/>
      <w:lvlText w:val="-"/>
      <w:lvlJc w:val="left"/>
      <w:pPr>
        <w:ind w:left="720" w:hanging="360"/>
      </w:pPr>
      <w:rPr>
        <w:rFonts w:ascii="Univers" w:hAnsi="Univers" w:cs="Univer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020C2C"/>
    <w:multiLevelType w:val="multilevel"/>
    <w:tmpl w:val="3DB2386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76950FEE"/>
    <w:multiLevelType w:val="multilevel"/>
    <w:tmpl w:val="813442F0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8" w15:restartNumberingAfterBreak="0">
    <w:nsid w:val="7AA60351"/>
    <w:multiLevelType w:val="multilevel"/>
    <w:tmpl w:val="BA968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4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7B0B1813"/>
    <w:multiLevelType w:val="multilevel"/>
    <w:tmpl w:val="A8A6899C"/>
    <w:lvl w:ilvl="0">
      <w:numFmt w:val="bullet"/>
      <w:lvlText w:val="-"/>
      <w:lvlJc w:val="left"/>
      <w:pPr>
        <w:ind w:left="720" w:hanging="360"/>
      </w:pPr>
      <w:rPr>
        <w:rFonts w:ascii="Univers" w:hAnsi="Univers" w:cs="Univer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B1"/>
    <w:rsid w:val="0040044C"/>
    <w:rsid w:val="00B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D1F56-48C5-4F21-93BF-71A80B19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160" w:line="259" w:lineRule="auto"/>
    </w:pPr>
  </w:style>
  <w:style w:type="paragraph" w:styleId="berschrift1">
    <w:name w:val="heading 1"/>
    <w:next w:val="Standard"/>
    <w:qFormat/>
    <w:rsid w:val="00FD7B19"/>
    <w:pPr>
      <w:keepNext/>
      <w:numPr>
        <w:numId w:val="1"/>
      </w:numPr>
      <w:tabs>
        <w:tab w:val="left" w:pos="851"/>
      </w:tabs>
      <w:suppressAutoHyphens/>
      <w:spacing w:before="240" w:after="120"/>
      <w:outlineLvl w:val="0"/>
    </w:pPr>
    <w:rPr>
      <w:rFonts w:ascii="Calibri" w:eastAsia="Calibri" w:hAnsi="Calibri" w:cs="Tahoma"/>
      <w:iCs/>
      <w:color w:val="2F5496" w:themeColor="accent5" w:themeShade="BF"/>
      <w:kern w:val="2"/>
      <w:sz w:val="32"/>
      <w:szCs w:val="32"/>
    </w:rPr>
  </w:style>
  <w:style w:type="paragraph" w:styleId="berschrift2">
    <w:name w:val="heading 2"/>
    <w:next w:val="Standard"/>
    <w:semiHidden/>
    <w:unhideWhenUsed/>
    <w:qFormat/>
    <w:rsid w:val="00FD7B19"/>
    <w:pPr>
      <w:keepNext/>
      <w:numPr>
        <w:ilvl w:val="1"/>
        <w:numId w:val="1"/>
      </w:numPr>
      <w:tabs>
        <w:tab w:val="clear" w:pos="576"/>
        <w:tab w:val="left" w:pos="567"/>
        <w:tab w:val="left" w:pos="851"/>
      </w:tabs>
      <w:suppressAutoHyphens/>
      <w:spacing w:before="240" w:after="120"/>
      <w:ind w:left="578" w:hanging="578"/>
      <w:outlineLvl w:val="1"/>
    </w:pPr>
    <w:rPr>
      <w:rFonts w:ascii="Calibri" w:eastAsia="Times New Roman" w:hAnsi="Calibri" w:cs="Tahoma"/>
      <w:bCs/>
      <w:color w:val="2F5496" w:themeColor="accent5" w:themeShade="BF"/>
      <w:sz w:val="28"/>
      <w:szCs w:val="28"/>
      <w:lang w:eastAsia="de-DE"/>
    </w:rPr>
  </w:style>
  <w:style w:type="paragraph" w:styleId="berschrift3">
    <w:name w:val="heading 3"/>
    <w:basedOn w:val="Standard"/>
    <w:next w:val="Standard"/>
    <w:semiHidden/>
    <w:unhideWhenUsed/>
    <w:qFormat/>
    <w:rsid w:val="00FD7B19"/>
    <w:pPr>
      <w:keepNext/>
      <w:numPr>
        <w:ilvl w:val="2"/>
        <w:numId w:val="1"/>
      </w:numPr>
      <w:tabs>
        <w:tab w:val="clear" w:pos="862"/>
        <w:tab w:val="left" w:pos="567"/>
        <w:tab w:val="left" w:pos="851"/>
        <w:tab w:val="left" w:pos="3413"/>
      </w:tabs>
      <w:spacing w:before="120" w:after="120" w:line="240" w:lineRule="auto"/>
      <w:ind w:left="737" w:firstLine="0"/>
      <w:outlineLvl w:val="2"/>
    </w:pPr>
    <w:rPr>
      <w:rFonts w:eastAsia="Times New Roman" w:cs="Tahoma"/>
      <w:color w:val="2F5496" w:themeColor="accent5" w:themeShade="BF"/>
      <w:sz w:val="24"/>
      <w:szCs w:val="28"/>
      <w:lang w:eastAsia="de-DE"/>
    </w:rPr>
  </w:style>
  <w:style w:type="paragraph" w:styleId="berschrift4">
    <w:name w:val="heading 4"/>
    <w:basedOn w:val="Standard"/>
    <w:next w:val="Standard"/>
    <w:autoRedefine/>
    <w:semiHidden/>
    <w:unhideWhenUsed/>
    <w:qFormat/>
    <w:rsid w:val="00FD7B19"/>
    <w:pPr>
      <w:keepNext/>
      <w:numPr>
        <w:ilvl w:val="3"/>
        <w:numId w:val="1"/>
      </w:numPr>
      <w:tabs>
        <w:tab w:val="clear" w:pos="864"/>
        <w:tab w:val="left" w:pos="851"/>
      </w:tabs>
      <w:spacing w:after="120" w:line="240" w:lineRule="auto"/>
      <w:outlineLvl w:val="3"/>
    </w:pPr>
    <w:rPr>
      <w:rFonts w:eastAsia="Times New Roman" w:cs="Tahoma"/>
      <w:bCs/>
      <w:color w:val="4472C4" w:themeColor="accent5"/>
      <w:szCs w:val="20"/>
      <w:lang w:eastAsia="de-DE"/>
    </w:rPr>
  </w:style>
  <w:style w:type="paragraph" w:styleId="berschrift5">
    <w:name w:val="heading 5"/>
    <w:basedOn w:val="Standard"/>
    <w:next w:val="Standard"/>
    <w:semiHidden/>
    <w:unhideWhenUsed/>
    <w:qFormat/>
    <w:rsid w:val="00FD7B19"/>
    <w:pPr>
      <w:keepNext/>
      <w:numPr>
        <w:ilvl w:val="4"/>
        <w:numId w:val="1"/>
      </w:numPr>
      <w:spacing w:after="120" w:line="240" w:lineRule="auto"/>
      <w:outlineLvl w:val="4"/>
    </w:pPr>
    <w:rPr>
      <w:rFonts w:eastAsia="Times New Roman" w:cs="Tahoma"/>
      <w:bCs/>
      <w:color w:val="4472C4" w:themeColor="accent5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1365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uiPriority w:val="99"/>
    <w:semiHidden/>
    <w:qFormat/>
    <w:rsid w:val="00A7690C"/>
  </w:style>
  <w:style w:type="character" w:customStyle="1" w:styleId="KopfzeileZchn1">
    <w:name w:val="Kopfzeile Zchn1"/>
    <w:basedOn w:val="Absatz-Standardschriftart"/>
    <w:link w:val="Kopfzeile"/>
    <w:uiPriority w:val="99"/>
    <w:qFormat/>
    <w:locked/>
    <w:rsid w:val="00A7690C"/>
    <w:rPr>
      <w:rFonts w:ascii="Arial" w:eastAsia="Times New Roman" w:hAnsi="Arial" w:cs="Arial"/>
      <w:sz w:val="20"/>
      <w:szCs w:val="20"/>
      <w:lang w:eastAsia="de-DE"/>
    </w:rPr>
  </w:style>
  <w:style w:type="character" w:customStyle="1" w:styleId="BeschriftungZchn">
    <w:name w:val="Beschriftung Zchn"/>
    <w:link w:val="caption1"/>
    <w:qFormat/>
    <w:locked/>
    <w:rsid w:val="00FD7B19"/>
    <w:rPr>
      <w:rFonts w:cs="Lucida Sans"/>
      <w:i/>
      <w:iCs/>
      <w:sz w:val="24"/>
      <w:szCs w:val="24"/>
    </w:rPr>
  </w:style>
  <w:style w:type="character" w:customStyle="1" w:styleId="berschrift1Zchn">
    <w:name w:val="Überschrift 1 Zchn"/>
    <w:basedOn w:val="Absatz-Standardschriftart"/>
    <w:qFormat/>
    <w:rsid w:val="00FD7B19"/>
    <w:rPr>
      <w:rFonts w:cs="Tahoma"/>
      <w:iCs/>
      <w:color w:val="2F5496" w:themeColor="accent5" w:themeShade="BF"/>
      <w:kern w:val="2"/>
      <w:sz w:val="32"/>
      <w:szCs w:val="32"/>
    </w:rPr>
  </w:style>
  <w:style w:type="character" w:customStyle="1" w:styleId="berschrift2Zchn">
    <w:name w:val="Überschrift 2 Zchn"/>
    <w:basedOn w:val="Absatz-Standardschriftart"/>
    <w:semiHidden/>
    <w:qFormat/>
    <w:rsid w:val="00FD7B19"/>
    <w:rPr>
      <w:rFonts w:eastAsia="Times New Roman" w:cs="Tahoma"/>
      <w:bCs/>
      <w:color w:val="2F5496" w:themeColor="accent5" w:themeShade="BF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semiHidden/>
    <w:qFormat/>
    <w:rsid w:val="00FD7B19"/>
    <w:rPr>
      <w:rFonts w:eastAsia="Times New Roman" w:cs="Tahoma"/>
      <w:color w:val="2F5496" w:themeColor="accent5" w:themeShade="BF"/>
      <w:sz w:val="24"/>
      <w:szCs w:val="28"/>
      <w:lang w:eastAsia="de-DE"/>
    </w:rPr>
  </w:style>
  <w:style w:type="character" w:customStyle="1" w:styleId="berschrift4Zchn">
    <w:name w:val="Überschrift 4 Zchn"/>
    <w:basedOn w:val="Absatz-Standardschriftart"/>
    <w:semiHidden/>
    <w:qFormat/>
    <w:rsid w:val="00FD7B19"/>
    <w:rPr>
      <w:rFonts w:eastAsia="Times New Roman" w:cs="Tahoma"/>
      <w:bCs/>
      <w:color w:val="4472C4" w:themeColor="accent5"/>
      <w:szCs w:val="20"/>
      <w:lang w:eastAsia="de-DE"/>
    </w:rPr>
  </w:style>
  <w:style w:type="character" w:customStyle="1" w:styleId="berschrift5Zchn">
    <w:name w:val="Überschrift 5 Zchn"/>
    <w:basedOn w:val="Absatz-Standardschriftart"/>
    <w:semiHidden/>
    <w:qFormat/>
    <w:rsid w:val="00FD7B19"/>
    <w:rPr>
      <w:rFonts w:eastAsia="Times New Roman" w:cs="Tahoma"/>
      <w:bCs/>
      <w:color w:val="4472C4" w:themeColor="accent5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semiHidden/>
    <w:qFormat/>
    <w:rsid w:val="0080515D"/>
  </w:style>
  <w:style w:type="character" w:customStyle="1" w:styleId="Textkrper-Einzug2Zchn">
    <w:name w:val="Textkörper-Einzug 2 Zchn"/>
    <w:basedOn w:val="Absatz-Standardschriftart"/>
    <w:uiPriority w:val="99"/>
    <w:semiHidden/>
    <w:qFormat/>
    <w:rsid w:val="0080515D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caption1">
    <w:name w:val="caption1"/>
    <w:basedOn w:val="Standard"/>
    <w:link w:val="BeschriftungZch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qFormat/>
    <w:rsid w:val="000A7D35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136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1"/>
    <w:uiPriority w:val="99"/>
    <w:rsid w:val="00A7690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34D67"/>
    <w:pPr>
      <w:spacing w:after="200" w:line="276" w:lineRule="auto"/>
      <w:ind w:left="720"/>
      <w:contextualSpacing/>
    </w:pPr>
  </w:style>
  <w:style w:type="paragraph" w:styleId="Aufzhlungszeichen4">
    <w:name w:val="List Bullet 4"/>
    <w:basedOn w:val="Standard"/>
    <w:uiPriority w:val="99"/>
    <w:semiHidden/>
    <w:unhideWhenUsed/>
    <w:qFormat/>
    <w:rsid w:val="00FD7B19"/>
    <w:pPr>
      <w:spacing w:after="0" w:line="240" w:lineRule="auto"/>
      <w:ind w:left="849" w:hanging="283"/>
      <w:contextualSpacing/>
    </w:pPr>
    <w:rPr>
      <w:rFonts w:eastAsia="Times New Roman" w:cs="Times New Roman"/>
      <w:szCs w:val="20"/>
      <w:lang w:eastAsia="de-DE"/>
    </w:rPr>
  </w:style>
  <w:style w:type="paragraph" w:styleId="Textkrper-Zeileneinzug">
    <w:name w:val="Body Text Indent"/>
    <w:basedOn w:val="Standard"/>
    <w:uiPriority w:val="99"/>
    <w:semiHidden/>
    <w:unhideWhenUsed/>
    <w:rsid w:val="0080515D"/>
    <w:pPr>
      <w:spacing w:after="120"/>
      <w:ind w:left="283"/>
    </w:pPr>
  </w:style>
  <w:style w:type="paragraph" w:styleId="Textkrper-Einzug2">
    <w:name w:val="Body Text Indent 2"/>
    <w:basedOn w:val="Standard"/>
    <w:uiPriority w:val="99"/>
    <w:semiHidden/>
    <w:unhideWhenUsed/>
    <w:qFormat/>
    <w:rsid w:val="0080515D"/>
    <w:pPr>
      <w:spacing w:after="120" w:line="480" w:lineRule="auto"/>
      <w:ind w:left="283"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rsid w:val="009D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2394</Words>
  <Characters>15083</Characters>
  <Application>Microsoft Office Word</Application>
  <DocSecurity>0</DocSecurity>
  <Lines>125</Lines>
  <Paragraphs>34</Paragraphs>
  <ScaleCrop>false</ScaleCrop>
  <Company>Hewlett-Packard Company</Company>
  <LinksUpToDate>false</LinksUpToDate>
  <CharactersWithSpaces>17443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Riesner,Christiane</dc:creator>
  <dc:description/>
  <cp:lastModifiedBy>Christiane Riesner</cp:lastModifiedBy>
  <cp:revision>6</cp:revision>
  <cp:lastPrinted>2021-12-13T13:37:00Z</cp:lastPrinted>
  <dcterms:created xsi:type="dcterms:W3CDTF">2024-04-22T09:32:00Z</dcterms:created>
  <dcterms:modified xsi:type="dcterms:W3CDTF">2024-04-30T05:05:00Z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